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9B3F29" w:rsidRPr="009B3F29" w14:paraId="719F5FB3" w14:textId="77777777" w:rsidTr="00EB23B3">
        <w:trPr>
          <w:jc w:val="center"/>
        </w:trPr>
        <w:tc>
          <w:tcPr>
            <w:tcW w:w="4202" w:type="dxa"/>
          </w:tcPr>
          <w:p w14:paraId="1E35BB0A" w14:textId="77777777" w:rsidR="009B3F29" w:rsidRPr="009B3F29" w:rsidRDefault="009B3F29" w:rsidP="009B3F29">
            <w:pPr>
              <w:tabs>
                <w:tab w:val="left" w:pos="4253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323" w:type="dxa"/>
          </w:tcPr>
          <w:p w14:paraId="0E5524E3" w14:textId="77777777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УТВЕРЖДЕНА</w:t>
            </w:r>
          </w:p>
          <w:p w14:paraId="7374C48F" w14:textId="77777777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  <w:p w14:paraId="61A58AF6" w14:textId="77777777" w:rsidR="009B3F29" w:rsidRPr="009B3F29" w:rsidRDefault="009B3F29" w:rsidP="009B3F29">
            <w:pPr>
              <w:widowControl w:val="0"/>
              <w:spacing w:before="100" w:after="120" w:line="240" w:lineRule="auto"/>
              <w:ind w:left="6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Правлением ПАО Московская Биржа </w:t>
            </w:r>
          </w:p>
          <w:p w14:paraId="26D0DBE8" w14:textId="77777777" w:rsidR="009B3F29" w:rsidRPr="009B3F29" w:rsidRDefault="009B3F29" w:rsidP="009B3F29">
            <w:pPr>
              <w:widowControl w:val="0"/>
              <w:spacing w:before="100" w:after="120" w:line="240" w:lineRule="auto"/>
              <w:ind w:left="68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</w:t>
            </w: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2021 г. Протокол </w:t>
            </w:r>
            <w:r w:rsidRPr="009B3F29"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  <w:t>No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  <w:p w14:paraId="35911345" w14:textId="77777777" w:rsidR="009B3F29" w:rsidRPr="009B3F29" w:rsidRDefault="009B3F29" w:rsidP="009B3F29">
            <w:pPr>
              <w:widowControl w:val="0"/>
              <w:spacing w:before="100" w:after="120" w:line="240" w:lineRule="auto"/>
              <w:ind w:left="68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Председатель Правления</w:t>
            </w:r>
          </w:p>
          <w:p w14:paraId="199D1C8E" w14:textId="77777777" w:rsidR="009B3F29" w:rsidRPr="009B3F29" w:rsidRDefault="009B3F29" w:rsidP="009B3F29">
            <w:pPr>
              <w:widowControl w:val="0"/>
              <w:spacing w:before="100" w:after="120" w:line="240" w:lineRule="auto"/>
              <w:ind w:left="68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ПАО Московская Биржа</w:t>
            </w:r>
          </w:p>
          <w:p w14:paraId="3B5D28EF" w14:textId="77777777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B3F29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_______________Ю.О. Денисов</w:t>
            </w:r>
          </w:p>
          <w:p w14:paraId="7FF83F3F" w14:textId="77777777" w:rsidR="009B3F29" w:rsidRPr="009B3F29" w:rsidRDefault="009B3F29" w:rsidP="009B3F29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</w:pPr>
          </w:p>
        </w:tc>
      </w:tr>
    </w:tbl>
    <w:p w14:paraId="0A275423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1D36ACE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6B51B21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CDEA6F8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74B833BC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59A5A39D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282A2AA" w14:textId="77777777" w:rsid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28A72B6D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039BC01" w14:textId="77777777" w:rsidR="009B3F29" w:rsidRPr="009B3F29" w:rsidRDefault="009B3F29" w:rsidP="009B3F29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31EE502D" w14:textId="77777777" w:rsidR="009B3F29" w:rsidRDefault="009B3F29" w:rsidP="009B3F29">
      <w:pPr>
        <w:jc w:val="right"/>
        <w:rPr>
          <w:rFonts w:ascii="Tahoma" w:hAnsi="Tahoma" w:cs="Tahoma"/>
          <w:b/>
        </w:rPr>
      </w:pPr>
    </w:p>
    <w:p w14:paraId="1E8691B6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2B90B1E9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</w:t>
      </w:r>
      <w:r w:rsidRPr="00033C3D">
        <w:rPr>
          <w:rFonts w:ascii="Tahoma" w:hAnsi="Tahoma" w:cs="Tahoma"/>
          <w:b/>
          <w:sz w:val="28"/>
          <w:szCs w:val="28"/>
        </w:rPr>
        <w:t>ндекс</w:t>
      </w:r>
      <w:r>
        <w:rPr>
          <w:rFonts w:ascii="Tahoma" w:hAnsi="Tahoma" w:cs="Tahoma"/>
          <w:b/>
          <w:sz w:val="28"/>
          <w:szCs w:val="28"/>
        </w:rPr>
        <w:t xml:space="preserve">а </w:t>
      </w:r>
      <w:r w:rsidRPr="004F0647">
        <w:rPr>
          <w:rFonts w:ascii="Tahoma" w:hAnsi="Tahoma" w:cs="Tahoma"/>
          <w:b/>
          <w:sz w:val="28"/>
          <w:szCs w:val="28"/>
        </w:rPr>
        <w:t xml:space="preserve">МосБиржи </w:t>
      </w:r>
      <w:r>
        <w:rPr>
          <w:rFonts w:ascii="Tahoma" w:hAnsi="Tahoma" w:cs="Tahoma"/>
          <w:b/>
          <w:sz w:val="28"/>
          <w:szCs w:val="28"/>
        </w:rPr>
        <w:t>ипотечных</w:t>
      </w:r>
      <w:r w:rsidRPr="00033C3D">
        <w:rPr>
          <w:rFonts w:ascii="Tahoma" w:hAnsi="Tahoma" w:cs="Tahoma"/>
          <w:b/>
          <w:sz w:val="28"/>
          <w:szCs w:val="28"/>
        </w:rPr>
        <w:t xml:space="preserve"> облигаций</w:t>
      </w:r>
    </w:p>
    <w:p w14:paraId="6905F35C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245607B6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13728B31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2C528183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743F4698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3A84246A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7A75BF43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1237557E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6FD788D4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3AA926DA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06443A29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0277FCE2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502D103D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6BD4DF75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</w:p>
    <w:p w14:paraId="608D808A" w14:textId="77777777" w:rsidR="009B3F29" w:rsidRPr="009B3F29" w:rsidRDefault="009B3F29" w:rsidP="009B3F2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x-none"/>
        </w:rPr>
      </w:pPr>
      <w:r w:rsidRPr="009B3F29">
        <w:rPr>
          <w:rFonts w:ascii="Tahoma" w:eastAsia="Times New Roman" w:hAnsi="Tahoma" w:cs="Tahoma"/>
          <w:sz w:val="24"/>
          <w:szCs w:val="24"/>
          <w:lang w:val="x-none" w:eastAsia="x-none"/>
        </w:rPr>
        <w:t>ПАО МОСКОВСКАЯ БИРЖА, 20</w:t>
      </w:r>
      <w:r w:rsidRPr="009B3F29">
        <w:rPr>
          <w:rFonts w:ascii="Tahoma" w:eastAsia="Times New Roman" w:hAnsi="Tahoma" w:cs="Tahoma"/>
          <w:sz w:val="24"/>
          <w:szCs w:val="24"/>
          <w:lang w:eastAsia="x-none"/>
        </w:rPr>
        <w:t>21</w:t>
      </w:r>
    </w:p>
    <w:p w14:paraId="2F8923D9" w14:textId="77777777" w:rsidR="009B3F29" w:rsidRDefault="009B3F29" w:rsidP="009B3F29">
      <w:pPr>
        <w:jc w:val="center"/>
        <w:rPr>
          <w:rFonts w:ascii="Tahoma" w:hAnsi="Tahoma" w:cs="Tahoma"/>
          <w:b/>
          <w:sz w:val="28"/>
          <w:szCs w:val="28"/>
        </w:rPr>
      </w:pPr>
      <w:r w:rsidRPr="009B3F2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3B30FD05" w14:textId="77777777" w:rsidR="009B3F29" w:rsidRPr="00646A6D" w:rsidRDefault="009B3F29" w:rsidP="009B3F29">
      <w:pPr>
        <w:pStyle w:val="1"/>
      </w:pPr>
      <w:r w:rsidRPr="00646A6D">
        <w:lastRenderedPageBreak/>
        <w:t>ОГЛАВЛЕНИЕ</w:t>
      </w:r>
    </w:p>
    <w:p w14:paraId="616783B4" w14:textId="77777777" w:rsidR="009B3F29" w:rsidRDefault="009B3F29" w:rsidP="009B3F29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74224502" w:history="1">
        <w:r w:rsidRPr="009737FE">
          <w:rPr>
            <w:rStyle w:val="a4"/>
            <w:rFonts w:ascii="Tahoma" w:hAnsi="Tahoma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9737FE">
          <w:rPr>
            <w:rStyle w:val="a4"/>
            <w:rFonts w:ascii="Tahoma" w:hAnsi="Tahoma" w:cs="Tahoma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_Toc74224502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3476E4" w14:textId="77777777" w:rsidR="009B3F29" w:rsidRDefault="00DA567F" w:rsidP="009B3F29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224503" w:history="1">
        <w:r w:rsidR="009B3F29" w:rsidRPr="009737FE">
          <w:rPr>
            <w:rStyle w:val="a4"/>
            <w:rFonts w:ascii="Tahoma" w:hAnsi="Tahoma"/>
            <w:noProof/>
          </w:rPr>
          <w:t>2.</w:t>
        </w:r>
        <w:r w:rsidR="009B3F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3F29" w:rsidRPr="009737FE">
          <w:rPr>
            <w:rStyle w:val="a4"/>
            <w:rFonts w:ascii="Tahoma" w:hAnsi="Tahoma" w:cs="Tahoma"/>
            <w:noProof/>
          </w:rPr>
          <w:t>Общий порядок расчета Индекса</w:t>
        </w:r>
        <w:r w:rsidR="009B3F29">
          <w:rPr>
            <w:noProof/>
            <w:webHidden/>
          </w:rPr>
          <w:tab/>
        </w:r>
        <w:r w:rsidR="009B3F29">
          <w:rPr>
            <w:noProof/>
            <w:webHidden/>
          </w:rPr>
          <w:fldChar w:fldCharType="begin"/>
        </w:r>
        <w:r w:rsidR="009B3F29">
          <w:rPr>
            <w:noProof/>
            <w:webHidden/>
          </w:rPr>
          <w:instrText xml:space="preserve"> PAGEREF _Toc74224503 \h </w:instrText>
        </w:r>
        <w:r w:rsidR="009B3F29">
          <w:rPr>
            <w:noProof/>
            <w:webHidden/>
          </w:rPr>
        </w:r>
        <w:r w:rsidR="009B3F29">
          <w:rPr>
            <w:noProof/>
            <w:webHidden/>
          </w:rPr>
          <w:fldChar w:fldCharType="separate"/>
        </w:r>
        <w:r w:rsidR="009B3F29">
          <w:rPr>
            <w:noProof/>
            <w:webHidden/>
          </w:rPr>
          <w:t>3</w:t>
        </w:r>
        <w:r w:rsidR="009B3F29">
          <w:rPr>
            <w:noProof/>
            <w:webHidden/>
          </w:rPr>
          <w:fldChar w:fldCharType="end"/>
        </w:r>
      </w:hyperlink>
    </w:p>
    <w:p w14:paraId="06C1F541" w14:textId="77777777" w:rsidR="009B3F29" w:rsidRDefault="00DA567F" w:rsidP="009B3F29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224504" w:history="1">
        <w:r w:rsidR="009B3F29" w:rsidRPr="009737FE">
          <w:rPr>
            <w:rStyle w:val="a4"/>
            <w:rFonts w:ascii="Tahoma" w:hAnsi="Tahoma"/>
            <w:noProof/>
          </w:rPr>
          <w:t>3.</w:t>
        </w:r>
        <w:r w:rsidR="009B3F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3F29" w:rsidRPr="009737FE">
          <w:rPr>
            <w:rStyle w:val="a4"/>
            <w:rFonts w:ascii="Tahoma" w:hAnsi="Tahoma" w:cs="Tahoma"/>
            <w:noProof/>
          </w:rPr>
          <w:t>Формирование и пересмотр Базы расчета</w:t>
        </w:r>
        <w:r w:rsidR="009B3F29">
          <w:rPr>
            <w:noProof/>
            <w:webHidden/>
          </w:rPr>
          <w:tab/>
        </w:r>
        <w:r w:rsidR="009B3F29">
          <w:rPr>
            <w:noProof/>
            <w:webHidden/>
          </w:rPr>
          <w:fldChar w:fldCharType="begin"/>
        </w:r>
        <w:r w:rsidR="009B3F29">
          <w:rPr>
            <w:noProof/>
            <w:webHidden/>
          </w:rPr>
          <w:instrText xml:space="preserve"> PAGEREF _Toc74224504 \h </w:instrText>
        </w:r>
        <w:r w:rsidR="009B3F29">
          <w:rPr>
            <w:noProof/>
            <w:webHidden/>
          </w:rPr>
        </w:r>
        <w:r w:rsidR="009B3F29">
          <w:rPr>
            <w:noProof/>
            <w:webHidden/>
          </w:rPr>
          <w:fldChar w:fldCharType="separate"/>
        </w:r>
        <w:r w:rsidR="009B3F29">
          <w:rPr>
            <w:noProof/>
            <w:webHidden/>
          </w:rPr>
          <w:t>4</w:t>
        </w:r>
        <w:r w:rsidR="009B3F29">
          <w:rPr>
            <w:noProof/>
            <w:webHidden/>
          </w:rPr>
          <w:fldChar w:fldCharType="end"/>
        </w:r>
      </w:hyperlink>
    </w:p>
    <w:p w14:paraId="59EA6BB8" w14:textId="77777777" w:rsidR="009B3F29" w:rsidRDefault="00DA567F" w:rsidP="009B3F29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224505" w:history="1">
        <w:r w:rsidR="009B3F29" w:rsidRPr="009737FE">
          <w:rPr>
            <w:rStyle w:val="a4"/>
            <w:rFonts w:ascii="Tahoma" w:hAnsi="Tahoma"/>
            <w:noProof/>
          </w:rPr>
          <w:t>4.</w:t>
        </w:r>
        <w:r w:rsidR="009B3F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3F29" w:rsidRPr="009737FE">
          <w:rPr>
            <w:rStyle w:val="a4"/>
            <w:rFonts w:ascii="Tahoma" w:hAnsi="Tahoma" w:cs="Tahoma"/>
            <w:noProof/>
          </w:rPr>
          <w:t>Ограничение доли стоимости Облигаций в Индексе</w:t>
        </w:r>
        <w:r w:rsidR="009B3F29">
          <w:rPr>
            <w:noProof/>
            <w:webHidden/>
          </w:rPr>
          <w:tab/>
        </w:r>
        <w:r w:rsidR="009B3F29">
          <w:rPr>
            <w:noProof/>
            <w:webHidden/>
          </w:rPr>
          <w:fldChar w:fldCharType="begin"/>
        </w:r>
        <w:r w:rsidR="009B3F29">
          <w:rPr>
            <w:noProof/>
            <w:webHidden/>
          </w:rPr>
          <w:instrText xml:space="preserve"> PAGEREF _Toc74224505 \h </w:instrText>
        </w:r>
        <w:r w:rsidR="009B3F29">
          <w:rPr>
            <w:noProof/>
            <w:webHidden/>
          </w:rPr>
        </w:r>
        <w:r w:rsidR="009B3F29">
          <w:rPr>
            <w:noProof/>
            <w:webHidden/>
          </w:rPr>
          <w:fldChar w:fldCharType="separate"/>
        </w:r>
        <w:r w:rsidR="009B3F29">
          <w:rPr>
            <w:noProof/>
            <w:webHidden/>
          </w:rPr>
          <w:t>5</w:t>
        </w:r>
        <w:r w:rsidR="009B3F29">
          <w:rPr>
            <w:noProof/>
            <w:webHidden/>
          </w:rPr>
          <w:fldChar w:fldCharType="end"/>
        </w:r>
      </w:hyperlink>
    </w:p>
    <w:p w14:paraId="11335906" w14:textId="77777777" w:rsidR="009B3F29" w:rsidRDefault="00DA567F" w:rsidP="009B3F29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224506" w:history="1">
        <w:r w:rsidR="009B3F29" w:rsidRPr="009737FE">
          <w:rPr>
            <w:rStyle w:val="a4"/>
            <w:rFonts w:ascii="Tahoma" w:hAnsi="Tahoma"/>
            <w:noProof/>
          </w:rPr>
          <w:t>5.</w:t>
        </w:r>
        <w:r w:rsidR="009B3F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3F29" w:rsidRPr="009737FE">
          <w:rPr>
            <w:rStyle w:val="a4"/>
            <w:rFonts w:ascii="Tahoma" w:hAnsi="Tahoma" w:cs="Tahoma"/>
            <w:noProof/>
          </w:rPr>
          <w:t>Контроль за расчетом индексов</w:t>
        </w:r>
        <w:r w:rsidR="009B3F29">
          <w:rPr>
            <w:noProof/>
            <w:webHidden/>
          </w:rPr>
          <w:tab/>
        </w:r>
        <w:r w:rsidR="009B3F29">
          <w:rPr>
            <w:noProof/>
            <w:webHidden/>
          </w:rPr>
          <w:fldChar w:fldCharType="begin"/>
        </w:r>
        <w:r w:rsidR="009B3F29">
          <w:rPr>
            <w:noProof/>
            <w:webHidden/>
          </w:rPr>
          <w:instrText xml:space="preserve"> PAGEREF _Toc74224506 \h </w:instrText>
        </w:r>
        <w:r w:rsidR="009B3F29">
          <w:rPr>
            <w:noProof/>
            <w:webHidden/>
          </w:rPr>
        </w:r>
        <w:r w:rsidR="009B3F29">
          <w:rPr>
            <w:noProof/>
            <w:webHidden/>
          </w:rPr>
          <w:fldChar w:fldCharType="separate"/>
        </w:r>
        <w:r w:rsidR="009B3F29">
          <w:rPr>
            <w:noProof/>
            <w:webHidden/>
          </w:rPr>
          <w:t>6</w:t>
        </w:r>
        <w:r w:rsidR="009B3F29">
          <w:rPr>
            <w:noProof/>
            <w:webHidden/>
          </w:rPr>
          <w:fldChar w:fldCharType="end"/>
        </w:r>
      </w:hyperlink>
    </w:p>
    <w:p w14:paraId="79EAF339" w14:textId="77777777" w:rsidR="009B3F29" w:rsidRDefault="00DA567F" w:rsidP="009B3F29">
      <w:pPr>
        <w:pStyle w:val="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74224507" w:history="1">
        <w:r w:rsidR="009B3F29" w:rsidRPr="009737FE">
          <w:rPr>
            <w:rStyle w:val="a4"/>
            <w:rFonts w:ascii="Tahoma" w:hAnsi="Tahoma"/>
            <w:noProof/>
          </w:rPr>
          <w:t>6.</w:t>
        </w:r>
        <w:r w:rsidR="009B3F29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9B3F29" w:rsidRPr="009737FE">
          <w:rPr>
            <w:rStyle w:val="a4"/>
            <w:rFonts w:ascii="Tahoma" w:hAnsi="Tahoma" w:cs="Tahoma"/>
            <w:noProof/>
          </w:rPr>
          <w:t>Раскрытие информации</w:t>
        </w:r>
        <w:r w:rsidR="009B3F29">
          <w:rPr>
            <w:noProof/>
            <w:webHidden/>
          </w:rPr>
          <w:tab/>
        </w:r>
        <w:r w:rsidR="009B3F29">
          <w:rPr>
            <w:noProof/>
            <w:webHidden/>
          </w:rPr>
          <w:fldChar w:fldCharType="begin"/>
        </w:r>
        <w:r w:rsidR="009B3F29">
          <w:rPr>
            <w:noProof/>
            <w:webHidden/>
          </w:rPr>
          <w:instrText xml:space="preserve"> PAGEREF _Toc74224507 \h </w:instrText>
        </w:r>
        <w:r w:rsidR="009B3F29">
          <w:rPr>
            <w:noProof/>
            <w:webHidden/>
          </w:rPr>
        </w:r>
        <w:r w:rsidR="009B3F29">
          <w:rPr>
            <w:noProof/>
            <w:webHidden/>
          </w:rPr>
          <w:fldChar w:fldCharType="separate"/>
        </w:r>
        <w:r w:rsidR="009B3F29">
          <w:rPr>
            <w:noProof/>
            <w:webHidden/>
          </w:rPr>
          <w:t>6</w:t>
        </w:r>
        <w:r w:rsidR="009B3F29">
          <w:rPr>
            <w:noProof/>
            <w:webHidden/>
          </w:rPr>
          <w:fldChar w:fldCharType="end"/>
        </w:r>
      </w:hyperlink>
    </w:p>
    <w:p w14:paraId="4581CCD0" w14:textId="77777777" w:rsidR="009B3F29" w:rsidRPr="00033C3D" w:rsidRDefault="009B3F29" w:rsidP="009B3F29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1F9B3230" w14:textId="77777777" w:rsidR="009B3F29" w:rsidRPr="00033C3D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74224502"/>
      <w:r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1FE12120" w14:textId="77777777" w:rsidR="009B3F29" w:rsidRPr="00033C3D" w:rsidRDefault="009B3F29" w:rsidP="009B3F29">
      <w:pPr>
        <w:pStyle w:val="3"/>
        <w:spacing w:before="0"/>
        <w:ind w:left="360"/>
        <w:rPr>
          <w:rFonts w:ascii="Tahoma" w:hAnsi="Tahoma" w:cs="Tahoma"/>
        </w:rPr>
      </w:pPr>
    </w:p>
    <w:p w14:paraId="1AC07942" w14:textId="77777777" w:rsidR="009B3F29" w:rsidRPr="00205E1D" w:rsidRDefault="009B3F29" w:rsidP="009B3F29">
      <w:pPr>
        <w:numPr>
          <w:ilvl w:val="1"/>
          <w:numId w:val="4"/>
        </w:numPr>
        <w:tabs>
          <w:tab w:val="num" w:pos="1000"/>
        </w:tabs>
        <w:spacing w:after="0" w:line="240" w:lineRule="auto"/>
        <w:jc w:val="both"/>
        <w:rPr>
          <w:rStyle w:val="a5"/>
          <w:rFonts w:ascii="Tahoma" w:hAnsi="Tahoma" w:cs="Tahoma"/>
        </w:rPr>
      </w:pPr>
      <w:bookmarkStart w:id="2" w:name="_Ref424309154"/>
      <w:r w:rsidRPr="00205E1D">
        <w:rPr>
          <w:rStyle w:val="a5"/>
          <w:rFonts w:ascii="Tahoma" w:hAnsi="Tahoma" w:cs="Tahoma"/>
        </w:rPr>
        <w:t xml:space="preserve">В целях настоящей Методики расчета </w:t>
      </w:r>
      <w:r w:rsidRPr="00A80633">
        <w:rPr>
          <w:rStyle w:val="a5"/>
          <w:rFonts w:ascii="Tahoma" w:hAnsi="Tahoma" w:cs="Tahoma"/>
        </w:rPr>
        <w:t xml:space="preserve">индекса МосБиржи ипотечных облигаций </w:t>
      </w:r>
      <w:r w:rsidRPr="003E2DCD">
        <w:rPr>
          <w:rFonts w:ascii="Tahoma" w:hAnsi="Tahoma" w:cs="Tahoma"/>
          <w:sz w:val="20"/>
          <w:szCs w:val="20"/>
        </w:rPr>
        <w:t>ДОМ.РФ</w:t>
      </w:r>
      <w:r w:rsidRPr="00186B46">
        <w:rPr>
          <w:rStyle w:val="a5"/>
          <w:rFonts w:ascii="Tahoma" w:hAnsi="Tahoma" w:cs="Tahoma"/>
        </w:rPr>
        <w:t xml:space="preserve"> (</w:t>
      </w:r>
      <w:r>
        <w:rPr>
          <w:rStyle w:val="a5"/>
          <w:rFonts w:ascii="Tahoma" w:hAnsi="Tahoma" w:cs="Tahoma"/>
        </w:rPr>
        <w:t xml:space="preserve">далее </w:t>
      </w:r>
      <w:r w:rsidRPr="00096842">
        <w:rPr>
          <w:rFonts w:ascii="Tahoma" w:hAnsi="Tahoma" w:cs="Tahoma"/>
          <w:sz w:val="20"/>
          <w:szCs w:val="20"/>
        </w:rPr>
        <w:t>–</w:t>
      </w:r>
      <w:r>
        <w:rPr>
          <w:rStyle w:val="a5"/>
          <w:rFonts w:ascii="Tahoma" w:hAnsi="Tahoma" w:cs="Tahoma"/>
        </w:rPr>
        <w:t xml:space="preserve"> Индекс</w:t>
      </w:r>
      <w:r w:rsidRPr="00186B46">
        <w:rPr>
          <w:rStyle w:val="a5"/>
          <w:rFonts w:ascii="Tahoma" w:hAnsi="Tahoma" w:cs="Tahoma"/>
        </w:rPr>
        <w:t xml:space="preserve">) </w:t>
      </w:r>
      <w:r w:rsidRPr="0042309D">
        <w:rPr>
          <w:rStyle w:val="a5"/>
          <w:rFonts w:ascii="Tahoma" w:hAnsi="Tahoma" w:cs="Tahoma"/>
        </w:rPr>
        <w:t>в</w:t>
      </w:r>
      <w:r w:rsidRPr="00205E1D">
        <w:rPr>
          <w:rStyle w:val="a5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64F88808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>База расчета – список облигаций для расчета Индекса, утверждаемый Биржей в предусмотренном Методикой порядке;</w:t>
      </w:r>
    </w:p>
    <w:p w14:paraId="2D877772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>Биржа, ПАО Московская Биржа – Публичное акционерное общество «Московская Биржа ММВБ-РТС»;</w:t>
      </w:r>
    </w:p>
    <w:p w14:paraId="40FE1067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 xml:space="preserve">Дата досрочного погашения – </w:t>
      </w:r>
      <w:r>
        <w:rPr>
          <w:rFonts w:ascii="Tahoma" w:hAnsi="Tahoma" w:cs="Tahoma"/>
          <w:sz w:val="20"/>
          <w:szCs w:val="20"/>
        </w:rPr>
        <w:t xml:space="preserve">ожидаемая </w:t>
      </w:r>
      <w:r w:rsidRPr="00096842">
        <w:rPr>
          <w:rFonts w:ascii="Tahoma" w:hAnsi="Tahoma" w:cs="Tahoma"/>
          <w:sz w:val="20"/>
          <w:szCs w:val="20"/>
        </w:rPr>
        <w:t xml:space="preserve">дата </w:t>
      </w:r>
      <w:r>
        <w:rPr>
          <w:rFonts w:ascii="Tahoma" w:hAnsi="Tahoma" w:cs="Tahoma"/>
          <w:sz w:val="20"/>
          <w:szCs w:val="20"/>
        </w:rPr>
        <w:t xml:space="preserve">исполнения </w:t>
      </w:r>
      <w:r w:rsidRPr="00096842">
        <w:rPr>
          <w:rFonts w:ascii="Tahoma" w:hAnsi="Tahoma" w:cs="Tahoma"/>
          <w:sz w:val="20"/>
          <w:szCs w:val="20"/>
        </w:rPr>
        <w:t xml:space="preserve">ближайшего пут-опциона или колл-опциона, предусмотренного условиями выпуска </w:t>
      </w:r>
      <w:r>
        <w:rPr>
          <w:rFonts w:ascii="Tahoma" w:hAnsi="Tahoma" w:cs="Tahoma"/>
          <w:sz w:val="20"/>
          <w:szCs w:val="20"/>
        </w:rPr>
        <w:t>О</w:t>
      </w:r>
      <w:r w:rsidRPr="00096842">
        <w:rPr>
          <w:rFonts w:ascii="Tahoma" w:hAnsi="Tahoma" w:cs="Tahoma"/>
          <w:sz w:val="20"/>
          <w:szCs w:val="20"/>
        </w:rPr>
        <w:t>блигаций;</w:t>
      </w:r>
    </w:p>
    <w:p w14:paraId="6DC81DE6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Pr="00096842">
        <w:rPr>
          <w:rFonts w:ascii="Tahoma" w:hAnsi="Tahoma" w:cs="Tahoma"/>
          <w:sz w:val="20"/>
          <w:szCs w:val="20"/>
        </w:rPr>
        <w:t xml:space="preserve">формирования Базы расчета – </w:t>
      </w:r>
      <w:r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>ата</w:t>
      </w:r>
      <w:r w:rsidRPr="00096842">
        <w:rPr>
          <w:rFonts w:ascii="Tahoma" w:hAnsi="Tahoma" w:cs="Tahoma"/>
          <w:sz w:val="20"/>
          <w:szCs w:val="20"/>
        </w:rPr>
        <w:t>, по состоянию на котор</w:t>
      </w:r>
      <w:r>
        <w:rPr>
          <w:rFonts w:ascii="Tahoma" w:hAnsi="Tahoma" w:cs="Tahoma"/>
          <w:sz w:val="20"/>
          <w:szCs w:val="20"/>
        </w:rPr>
        <w:t>ую</w:t>
      </w:r>
      <w:r w:rsidRPr="00096842">
        <w:rPr>
          <w:rFonts w:ascii="Tahoma" w:hAnsi="Tahoma" w:cs="Tahoma"/>
          <w:sz w:val="20"/>
          <w:szCs w:val="20"/>
        </w:rPr>
        <w:t xml:space="preserve"> формируется База расчета</w:t>
      </w:r>
      <w:r>
        <w:rPr>
          <w:rFonts w:ascii="Tahoma" w:hAnsi="Tahoma" w:cs="Tahoma"/>
          <w:sz w:val="20"/>
          <w:szCs w:val="20"/>
        </w:rPr>
        <w:t xml:space="preserve">, </w:t>
      </w:r>
      <w:r w:rsidRPr="0009684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Pr="00096842">
        <w:rPr>
          <w:rFonts w:ascii="Tahoma" w:hAnsi="Tahoma" w:cs="Tahoma"/>
          <w:sz w:val="20"/>
          <w:szCs w:val="20"/>
        </w:rPr>
        <w:t xml:space="preserve">15 февраля, 15 мая, 15 августа и 15 ноября. Если 15 февраля, 15 мая, 15 августа, 15 ноября не являются торговыми днями, то </w:t>
      </w:r>
      <w:r>
        <w:rPr>
          <w:rFonts w:ascii="Tahoma" w:hAnsi="Tahoma" w:cs="Tahoma"/>
          <w:sz w:val="20"/>
          <w:szCs w:val="20"/>
        </w:rPr>
        <w:t>Датой</w:t>
      </w:r>
      <w:r w:rsidRPr="00096842">
        <w:rPr>
          <w:rFonts w:ascii="Tahoma" w:hAnsi="Tahoma" w:cs="Tahoma"/>
          <w:sz w:val="20"/>
          <w:szCs w:val="20"/>
        </w:rPr>
        <w:t xml:space="preserve"> формирования Базы расчета является </w:t>
      </w:r>
      <w:r>
        <w:rPr>
          <w:rFonts w:ascii="Tahoma" w:hAnsi="Tahoma" w:cs="Tahoma"/>
          <w:sz w:val="20"/>
          <w:szCs w:val="20"/>
        </w:rPr>
        <w:t xml:space="preserve">первый </w:t>
      </w:r>
      <w:r w:rsidRPr="00096842">
        <w:rPr>
          <w:rFonts w:ascii="Tahoma" w:hAnsi="Tahoma" w:cs="Tahoma"/>
          <w:sz w:val="20"/>
          <w:szCs w:val="20"/>
        </w:rPr>
        <w:t>торговый день, следующий за 15 числом соответствующего месяца;</w:t>
      </w:r>
    </w:p>
    <w:p w14:paraId="313002A2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>Накопленный купонный доход</w:t>
      </w:r>
      <w:r>
        <w:rPr>
          <w:rFonts w:ascii="Tahoma" w:hAnsi="Tahoma" w:cs="Tahoma"/>
          <w:sz w:val="20"/>
          <w:szCs w:val="20"/>
        </w:rPr>
        <w:t>, НКД</w:t>
      </w:r>
      <w:r w:rsidRPr="00096842">
        <w:rPr>
          <w:rFonts w:ascii="Tahoma" w:hAnsi="Tahoma" w:cs="Tahoma"/>
          <w:sz w:val="20"/>
          <w:szCs w:val="20"/>
        </w:rPr>
        <w:t xml:space="preserve"> – величина накопленного </w:t>
      </w:r>
      <w:r>
        <w:rPr>
          <w:rFonts w:ascii="Tahoma" w:hAnsi="Tahoma" w:cs="Tahoma"/>
          <w:sz w:val="20"/>
          <w:szCs w:val="20"/>
        </w:rPr>
        <w:t xml:space="preserve">купонного </w:t>
      </w:r>
      <w:r w:rsidRPr="00096842">
        <w:rPr>
          <w:rFonts w:ascii="Tahoma" w:hAnsi="Tahoma" w:cs="Tahoma"/>
          <w:sz w:val="20"/>
          <w:szCs w:val="20"/>
        </w:rPr>
        <w:t xml:space="preserve">дохода по </w:t>
      </w:r>
      <w:r>
        <w:rPr>
          <w:rFonts w:ascii="Tahoma" w:hAnsi="Tahoma" w:cs="Tahoma"/>
          <w:sz w:val="20"/>
          <w:szCs w:val="20"/>
        </w:rPr>
        <w:t>О</w:t>
      </w:r>
      <w:r w:rsidRPr="00096842">
        <w:rPr>
          <w:rFonts w:ascii="Tahoma" w:hAnsi="Tahoma" w:cs="Tahoma"/>
          <w:sz w:val="20"/>
          <w:szCs w:val="20"/>
        </w:rPr>
        <w:t>блигации, выраженная в рублях Р</w:t>
      </w:r>
      <w:r>
        <w:rPr>
          <w:rFonts w:ascii="Tahoma" w:hAnsi="Tahoma" w:cs="Tahoma"/>
          <w:sz w:val="20"/>
          <w:szCs w:val="20"/>
        </w:rPr>
        <w:t xml:space="preserve">оссийской </w:t>
      </w:r>
      <w:r w:rsidRPr="00096842">
        <w:rPr>
          <w:rFonts w:ascii="Tahoma" w:hAnsi="Tahoma" w:cs="Tahoma"/>
          <w:sz w:val="20"/>
          <w:szCs w:val="20"/>
        </w:rPr>
        <w:t>Ф</w:t>
      </w:r>
      <w:r>
        <w:rPr>
          <w:rFonts w:ascii="Tahoma" w:hAnsi="Tahoma" w:cs="Tahoma"/>
          <w:sz w:val="20"/>
          <w:szCs w:val="20"/>
        </w:rPr>
        <w:t>едерации</w:t>
      </w:r>
      <w:r w:rsidRPr="00096842">
        <w:rPr>
          <w:rFonts w:ascii="Tahoma" w:hAnsi="Tahoma" w:cs="Tahoma"/>
          <w:sz w:val="20"/>
          <w:szCs w:val="20"/>
        </w:rPr>
        <w:t>;</w:t>
      </w:r>
    </w:p>
    <w:p w14:paraId="19E1C0EB" w14:textId="77777777" w:rsidR="009B3F29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 xml:space="preserve">Облигации – </w:t>
      </w:r>
      <w:r w:rsidRPr="003E2DCD">
        <w:rPr>
          <w:rFonts w:ascii="Tahoma" w:hAnsi="Tahoma" w:cs="Tahoma"/>
          <w:sz w:val="20"/>
          <w:szCs w:val="20"/>
        </w:rPr>
        <w:t xml:space="preserve">облигационные займы с ипотечным покрытием, выпущенные </w:t>
      </w:r>
      <w:r>
        <w:rPr>
          <w:rFonts w:ascii="Tahoma" w:hAnsi="Tahoma" w:cs="Tahoma"/>
          <w:sz w:val="20"/>
          <w:szCs w:val="20"/>
        </w:rPr>
        <w:br/>
      </w:r>
      <w:r w:rsidRPr="00657E42">
        <w:rPr>
          <w:rFonts w:ascii="Tahoma" w:hAnsi="Tahoma" w:cs="Tahoma"/>
          <w:sz w:val="20"/>
          <w:szCs w:val="20"/>
        </w:rPr>
        <w:t xml:space="preserve">ООО </w:t>
      </w:r>
      <w:r>
        <w:rPr>
          <w:rFonts w:ascii="Tahoma" w:hAnsi="Tahoma" w:cs="Tahoma"/>
          <w:sz w:val="20"/>
          <w:szCs w:val="20"/>
        </w:rPr>
        <w:t>«</w:t>
      </w:r>
      <w:r w:rsidRPr="003E2DCD">
        <w:rPr>
          <w:rFonts w:ascii="Tahoma" w:hAnsi="Tahoma" w:cs="Tahoma"/>
          <w:sz w:val="20"/>
          <w:szCs w:val="20"/>
        </w:rPr>
        <w:t>ДОМ.РФ Ипотечный агент</w:t>
      </w:r>
      <w:r>
        <w:rPr>
          <w:rFonts w:ascii="Tahoma" w:hAnsi="Tahoma" w:cs="Tahoma"/>
          <w:sz w:val="20"/>
          <w:szCs w:val="20"/>
        </w:rPr>
        <w:t>»</w:t>
      </w:r>
      <w:r w:rsidRPr="003E2DCD">
        <w:rPr>
          <w:rFonts w:ascii="Tahoma" w:hAnsi="Tahoma" w:cs="Tahoma"/>
          <w:sz w:val="20"/>
          <w:szCs w:val="20"/>
        </w:rPr>
        <w:t xml:space="preserve"> </w:t>
      </w:r>
      <w:r w:rsidRPr="003E2DCD">
        <w:rPr>
          <w:rFonts w:ascii="Tahoma" w:hAnsi="Tahoma" w:cs="Tahoma"/>
          <w:sz w:val="20"/>
          <w:szCs w:val="20"/>
          <w:lang w:val="en-US"/>
        </w:rPr>
        <w:t>c</w:t>
      </w:r>
      <w:r w:rsidRPr="003E2DCD">
        <w:rPr>
          <w:rFonts w:ascii="Tahoma" w:hAnsi="Tahoma" w:cs="Tahoma"/>
          <w:sz w:val="20"/>
          <w:szCs w:val="20"/>
        </w:rPr>
        <w:t xml:space="preserve"> поручительством АО «ДОМ.РФ»</w:t>
      </w:r>
      <w:r w:rsidRPr="00096842">
        <w:rPr>
          <w:rFonts w:ascii="Tahoma" w:hAnsi="Tahoma" w:cs="Tahoma"/>
          <w:sz w:val="20"/>
          <w:szCs w:val="20"/>
        </w:rPr>
        <w:t xml:space="preserve"> и допущенные к торгам на Бирже</w:t>
      </w:r>
      <w:r>
        <w:rPr>
          <w:rFonts w:ascii="Tahoma" w:hAnsi="Tahoma" w:cs="Tahoma"/>
          <w:sz w:val="20"/>
          <w:szCs w:val="20"/>
        </w:rPr>
        <w:t>;</w:t>
      </w:r>
    </w:p>
    <w:p w14:paraId="04B2B677" w14:textId="77777777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708E7">
        <w:rPr>
          <w:rFonts w:ascii="Tahoma" w:hAnsi="Tahoma" w:cs="Tahoma"/>
          <w:sz w:val="20"/>
          <w:szCs w:val="20"/>
        </w:rPr>
        <w:t xml:space="preserve">Торговый день – день, в который Биржей проводятся организованные торги (применяется в значениях, определенных </w:t>
      </w:r>
      <w:r>
        <w:rPr>
          <w:rFonts w:ascii="Tahoma" w:hAnsi="Tahoma" w:cs="Tahoma"/>
          <w:sz w:val="20"/>
          <w:szCs w:val="20"/>
        </w:rPr>
        <w:t>П</w:t>
      </w:r>
      <w:r w:rsidRPr="004708E7">
        <w:rPr>
          <w:rFonts w:ascii="Tahoma" w:hAnsi="Tahoma" w:cs="Tahoma"/>
          <w:sz w:val="20"/>
          <w:szCs w:val="20"/>
        </w:rPr>
        <w:t>равилами проведения торгов на фондовом рынке</w:t>
      </w:r>
      <w:r>
        <w:rPr>
          <w:rFonts w:ascii="Tahoma" w:hAnsi="Tahoma" w:cs="Tahoma"/>
          <w:sz w:val="20"/>
          <w:szCs w:val="20"/>
        </w:rPr>
        <w:t>, рынке депозитов и рынке кредитов</w:t>
      </w:r>
      <w:r w:rsidRPr="004708E7">
        <w:rPr>
          <w:rFonts w:ascii="Tahoma" w:hAnsi="Tahoma" w:cs="Tahoma"/>
          <w:sz w:val="20"/>
          <w:szCs w:val="20"/>
        </w:rPr>
        <w:t xml:space="preserve"> </w:t>
      </w:r>
      <w:r>
        <w:rPr>
          <w:rStyle w:val="a5"/>
          <w:rFonts w:ascii="Tahoma" w:hAnsi="Tahoma" w:cs="Tahoma"/>
        </w:rPr>
        <w:t>Публичного акционерного общества</w:t>
      </w:r>
      <w:r w:rsidRPr="00205E1D">
        <w:rPr>
          <w:rStyle w:val="a5"/>
          <w:rFonts w:ascii="Tahoma" w:hAnsi="Tahoma" w:cs="Tahoma"/>
        </w:rPr>
        <w:t xml:space="preserve"> «Московская Биржа ММВБ-РТС»</w:t>
      </w:r>
      <w:r w:rsidRPr="004708E7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;</w:t>
      </w:r>
    </w:p>
    <w:p w14:paraId="570EA475" w14:textId="78E2162E" w:rsidR="009B3F29" w:rsidRPr="00096842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96842">
        <w:rPr>
          <w:rFonts w:ascii="Tahoma" w:hAnsi="Tahoma" w:cs="Tahoma"/>
          <w:sz w:val="20"/>
          <w:szCs w:val="20"/>
        </w:rPr>
        <w:t xml:space="preserve">Цена </w:t>
      </w:r>
      <w:r w:rsidR="00145F2E">
        <w:rPr>
          <w:rFonts w:ascii="Tahoma" w:hAnsi="Tahoma" w:cs="Tahoma"/>
          <w:sz w:val="20"/>
          <w:szCs w:val="20"/>
        </w:rPr>
        <w:t>О</w:t>
      </w:r>
      <w:r w:rsidRPr="00096842">
        <w:rPr>
          <w:rFonts w:ascii="Tahoma" w:hAnsi="Tahoma" w:cs="Tahoma"/>
          <w:sz w:val="20"/>
          <w:szCs w:val="20"/>
        </w:rPr>
        <w:t>блигации –</w:t>
      </w:r>
      <w:r>
        <w:rPr>
          <w:rFonts w:ascii="Tahoma" w:hAnsi="Tahoma" w:cs="Tahoma"/>
          <w:sz w:val="20"/>
          <w:szCs w:val="20"/>
        </w:rPr>
        <w:t xml:space="preserve"> </w:t>
      </w:r>
      <w:r w:rsidRPr="009B3F29">
        <w:rPr>
          <w:rFonts w:ascii="Tahoma" w:hAnsi="Tahoma" w:cs="Tahoma"/>
          <w:sz w:val="20"/>
          <w:szCs w:val="20"/>
        </w:rPr>
        <w:t xml:space="preserve">средневзвешенная цена </w:t>
      </w:r>
      <w:r w:rsidRPr="00096842">
        <w:rPr>
          <w:rFonts w:ascii="Tahoma" w:hAnsi="Tahoma" w:cs="Tahoma"/>
          <w:sz w:val="20"/>
          <w:szCs w:val="20"/>
        </w:rPr>
        <w:t xml:space="preserve">на момент окончания торгов </w:t>
      </w:r>
      <w:r w:rsidR="00145F2E">
        <w:rPr>
          <w:rFonts w:ascii="Tahoma" w:hAnsi="Tahoma" w:cs="Tahoma"/>
          <w:sz w:val="20"/>
          <w:szCs w:val="20"/>
        </w:rPr>
        <w:t xml:space="preserve">в основной </w:t>
      </w:r>
      <w:r w:rsidRPr="00096842">
        <w:rPr>
          <w:rFonts w:ascii="Tahoma" w:hAnsi="Tahoma" w:cs="Tahoma"/>
          <w:sz w:val="20"/>
          <w:szCs w:val="20"/>
        </w:rPr>
        <w:t>торговой сессии, выраженная в рублях Р</w:t>
      </w:r>
      <w:r>
        <w:rPr>
          <w:rFonts w:ascii="Tahoma" w:hAnsi="Tahoma" w:cs="Tahoma"/>
          <w:sz w:val="20"/>
          <w:szCs w:val="20"/>
        </w:rPr>
        <w:t xml:space="preserve">оссийской </w:t>
      </w:r>
      <w:r w:rsidRPr="00096842">
        <w:rPr>
          <w:rFonts w:ascii="Tahoma" w:hAnsi="Tahoma" w:cs="Tahoma"/>
          <w:sz w:val="20"/>
          <w:szCs w:val="20"/>
        </w:rPr>
        <w:t>Ф</w:t>
      </w:r>
      <w:r>
        <w:rPr>
          <w:rFonts w:ascii="Tahoma" w:hAnsi="Tahoma" w:cs="Tahoma"/>
          <w:sz w:val="20"/>
          <w:szCs w:val="20"/>
        </w:rPr>
        <w:t>едерации</w:t>
      </w:r>
      <w:r w:rsidRPr="00096842">
        <w:rPr>
          <w:rFonts w:ascii="Tahoma" w:hAnsi="Tahoma" w:cs="Tahoma"/>
          <w:sz w:val="20"/>
          <w:szCs w:val="20"/>
        </w:rPr>
        <w:t>.</w:t>
      </w:r>
    </w:p>
    <w:p w14:paraId="67C8034E" w14:textId="77777777" w:rsidR="009B3F29" w:rsidRPr="003500CE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не определенные в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7F33A944" w14:textId="77777777" w:rsidR="009B3F29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>, рассчитываемы</w:t>
      </w:r>
      <w:r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>
        <w:rPr>
          <w:rFonts w:ascii="Tahoma" w:hAnsi="Tahoma" w:cs="Tahoma"/>
          <w:sz w:val="20"/>
          <w:szCs w:val="20"/>
        </w:rPr>
        <w:t>Методикой, имеет следующие</w:t>
      </w:r>
      <w:r w:rsidRPr="00033C3D">
        <w:rPr>
          <w:rFonts w:ascii="Tahoma" w:hAnsi="Tahoma" w:cs="Tahoma"/>
          <w:sz w:val="20"/>
          <w:szCs w:val="20"/>
        </w:rPr>
        <w:t xml:space="preserve"> наименовани</w:t>
      </w:r>
      <w:r>
        <w:rPr>
          <w:rFonts w:ascii="Tahoma" w:hAnsi="Tahoma" w:cs="Tahoma"/>
          <w:sz w:val="20"/>
          <w:szCs w:val="20"/>
        </w:rPr>
        <w:t>я</w:t>
      </w:r>
      <w:r w:rsidRPr="00033C3D">
        <w:rPr>
          <w:rFonts w:ascii="Tahoma" w:hAnsi="Tahoma" w:cs="Tahoma"/>
          <w:sz w:val="20"/>
          <w:szCs w:val="20"/>
        </w:rPr>
        <w:t>:</w:t>
      </w:r>
    </w:p>
    <w:p w14:paraId="7BF17F0D" w14:textId="77777777" w:rsidR="009B3F29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 xml:space="preserve">: </w:t>
      </w:r>
      <w:r w:rsidRPr="00F967F2">
        <w:rPr>
          <w:rFonts w:ascii="Tahoma" w:hAnsi="Tahoma" w:cs="Tahoma"/>
          <w:sz w:val="20"/>
          <w:szCs w:val="20"/>
        </w:rPr>
        <w:t>«</w:t>
      </w:r>
      <w:r w:rsidRPr="003E2DCD">
        <w:rPr>
          <w:rFonts w:ascii="Tahoma" w:hAnsi="Tahoma" w:cs="Tahoma"/>
          <w:sz w:val="20"/>
          <w:szCs w:val="20"/>
        </w:rPr>
        <w:t>Индекс МосБиржи ипотечных облигаций ДОМ.РФ</w:t>
      </w:r>
      <w:r w:rsidRPr="00F967F2">
        <w:rPr>
          <w:rFonts w:ascii="Tahoma" w:hAnsi="Tahoma" w:cs="Tahoma"/>
          <w:sz w:val="20"/>
          <w:szCs w:val="20"/>
        </w:rPr>
        <w:t>»;</w:t>
      </w:r>
    </w:p>
    <w:p w14:paraId="7AA3FE8B" w14:textId="77777777" w:rsidR="009B3F29" w:rsidRDefault="009B3F29" w:rsidP="009B3F2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 w:rsidRPr="00F967F2">
        <w:rPr>
          <w:rFonts w:ascii="Tahoma" w:hAnsi="Tahoma" w:cs="Tahoma"/>
          <w:sz w:val="20"/>
          <w:szCs w:val="20"/>
        </w:rPr>
        <w:t>«</w:t>
      </w:r>
      <w:r w:rsidRPr="003E2DCD">
        <w:rPr>
          <w:rFonts w:ascii="Tahoma" w:hAnsi="Tahoma" w:cs="Tahoma"/>
          <w:sz w:val="20"/>
          <w:szCs w:val="20"/>
        </w:rPr>
        <w:t>M</w:t>
      </w:r>
      <w:r w:rsidRPr="003E2DCD">
        <w:rPr>
          <w:rFonts w:ascii="Tahoma" w:hAnsi="Tahoma" w:cs="Tahoma"/>
          <w:sz w:val="20"/>
          <w:szCs w:val="20"/>
          <w:lang w:val="en-US"/>
        </w:rPr>
        <w:t>O</w:t>
      </w:r>
      <w:r w:rsidRPr="003E2DCD">
        <w:rPr>
          <w:rFonts w:ascii="Tahoma" w:hAnsi="Tahoma" w:cs="Tahoma"/>
          <w:sz w:val="20"/>
          <w:szCs w:val="20"/>
        </w:rPr>
        <w:t>E</w:t>
      </w:r>
      <w:r w:rsidRPr="003E2DCD">
        <w:rPr>
          <w:rFonts w:ascii="Tahoma" w:hAnsi="Tahoma" w:cs="Tahoma"/>
          <w:sz w:val="20"/>
          <w:szCs w:val="20"/>
          <w:lang w:val="en-US"/>
        </w:rPr>
        <w:t>X</w:t>
      </w:r>
      <w:r w:rsidRPr="003E2DC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DOM</w:t>
      </w:r>
      <w:r w:rsidRPr="00BB562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  <w:lang w:val="en-US"/>
        </w:rPr>
        <w:t>RF</w:t>
      </w:r>
      <w:r w:rsidRPr="00BB562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MBS</w:t>
      </w:r>
      <w:r w:rsidRPr="003E2DCD">
        <w:rPr>
          <w:rFonts w:ascii="Tahoma" w:hAnsi="Tahoma" w:cs="Tahoma"/>
          <w:sz w:val="20"/>
          <w:szCs w:val="20"/>
        </w:rPr>
        <w:t xml:space="preserve"> Index</w:t>
      </w:r>
      <w:r w:rsidRPr="00F967F2">
        <w:rPr>
          <w:rFonts w:ascii="Tahoma" w:hAnsi="Tahoma" w:cs="Tahoma"/>
          <w:sz w:val="20"/>
          <w:szCs w:val="20"/>
        </w:rPr>
        <w:t>».</w:t>
      </w:r>
    </w:p>
    <w:p w14:paraId="00691F33" w14:textId="77777777" w:rsidR="009B3F29" w:rsidRDefault="009B3F29" w:rsidP="009B3F29">
      <w:pPr>
        <w:numPr>
          <w:ilvl w:val="1"/>
          <w:numId w:val="4"/>
        </w:numPr>
        <w:tabs>
          <w:tab w:val="num" w:pos="100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5BDE8F03" w14:textId="77777777" w:rsidR="009B3F29" w:rsidRPr="00033C3D" w:rsidRDefault="009B3F29" w:rsidP="009B3F29">
      <w:pPr>
        <w:numPr>
          <w:ilvl w:val="1"/>
          <w:numId w:val="4"/>
        </w:numPr>
        <w:tabs>
          <w:tab w:val="num" w:pos="100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Методика, а также все изменения и дополнения к ней утверждаются Биржей и вступают в силу в дату, определяемую Биржей. Внесение изменений и дополнений в Методику может осуществляться не чаще одного раза в квартал.</w:t>
      </w:r>
    </w:p>
    <w:p w14:paraId="04215BBC" w14:textId="77777777" w:rsidR="009B3F29" w:rsidRPr="00033C3D" w:rsidRDefault="009B3F29" w:rsidP="009B3F29">
      <w:pPr>
        <w:rPr>
          <w:rFonts w:ascii="Tahoma" w:hAnsi="Tahoma" w:cs="Tahoma"/>
          <w:sz w:val="20"/>
          <w:szCs w:val="20"/>
        </w:rPr>
      </w:pPr>
    </w:p>
    <w:p w14:paraId="0EC8DD8B" w14:textId="77777777" w:rsidR="009B3F29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3" w:name="_Toc74224503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>
        <w:rPr>
          <w:rFonts w:ascii="Tahoma" w:hAnsi="Tahoma" w:cs="Tahoma"/>
          <w:b/>
          <w:sz w:val="20"/>
          <w:szCs w:val="20"/>
        </w:rPr>
        <w:t>Индекса</w:t>
      </w:r>
      <w:bookmarkEnd w:id="3"/>
    </w:p>
    <w:p w14:paraId="4AE7D159" w14:textId="77777777" w:rsidR="009B3F29" w:rsidRPr="00033C3D" w:rsidRDefault="009B3F29" w:rsidP="009B3F29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A57117C" w14:textId="77777777" w:rsidR="009B3F29" w:rsidRDefault="009B3F29" w:rsidP="00145F2E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4" w:name="_Ref323386348"/>
      <w:bookmarkStart w:id="5" w:name="п_2_1"/>
      <w:r w:rsidRPr="00033C3D">
        <w:rPr>
          <w:rFonts w:ascii="Tahoma" w:hAnsi="Tahoma" w:cs="Tahoma"/>
          <w:sz w:val="20"/>
          <w:szCs w:val="20"/>
        </w:rPr>
        <w:t>Индекс рассчитыва</w:t>
      </w:r>
      <w:r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>тся</w:t>
      </w:r>
      <w:r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каждый </w:t>
      </w:r>
      <w:r>
        <w:rPr>
          <w:rFonts w:ascii="Tahoma" w:hAnsi="Tahoma" w:cs="Tahoma"/>
          <w:sz w:val="20"/>
          <w:szCs w:val="20"/>
        </w:rPr>
        <w:t>Т</w:t>
      </w:r>
      <w:r w:rsidRPr="00033C3D">
        <w:rPr>
          <w:rFonts w:ascii="Tahoma" w:hAnsi="Tahoma" w:cs="Tahoma"/>
          <w:sz w:val="20"/>
          <w:szCs w:val="20"/>
        </w:rPr>
        <w:t xml:space="preserve">орговый день </w:t>
      </w:r>
      <w:bookmarkEnd w:id="4"/>
      <w:r>
        <w:rPr>
          <w:rStyle w:val="a5"/>
          <w:rFonts w:ascii="Tahoma" w:hAnsi="Tahoma" w:cs="Tahoma"/>
        </w:rPr>
        <w:t xml:space="preserve">после </w:t>
      </w:r>
      <w:r w:rsidRPr="00AF222E">
        <w:rPr>
          <w:rFonts w:ascii="Tahoma" w:hAnsi="Tahoma" w:cs="Tahoma"/>
          <w:sz w:val="20"/>
          <w:szCs w:val="20"/>
        </w:rPr>
        <w:t>закрытия основной торговой сессии</w:t>
      </w:r>
      <w:r>
        <w:rPr>
          <w:rFonts w:ascii="Tahoma" w:hAnsi="Tahoma" w:cs="Tahoma"/>
          <w:sz w:val="20"/>
          <w:szCs w:val="20"/>
        </w:rPr>
        <w:t xml:space="preserve">. </w:t>
      </w:r>
      <w:r w:rsidRPr="008F0DC8">
        <w:rPr>
          <w:rFonts w:ascii="Tahoma" w:hAnsi="Tahoma" w:cs="Tahoma"/>
          <w:sz w:val="20"/>
          <w:szCs w:val="20"/>
        </w:rPr>
        <w:t xml:space="preserve">Биржа вправе изменять время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8F0DC8">
        <w:rPr>
          <w:rFonts w:ascii="Tahoma" w:hAnsi="Tahoma" w:cs="Tahoma"/>
          <w:sz w:val="20"/>
          <w:szCs w:val="20"/>
        </w:rPr>
        <w:t>.</w:t>
      </w:r>
    </w:p>
    <w:p w14:paraId="394686D5" w14:textId="77777777" w:rsidR="009B3F29" w:rsidRPr="00033C3D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 предусматривает следующие способы расчета </w:t>
      </w:r>
      <w:r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ндекс</w:t>
      </w:r>
      <w:r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>:</w:t>
      </w:r>
    </w:p>
    <w:p w14:paraId="61AF697A" w14:textId="77777777" w:rsidR="009B3F29" w:rsidRPr="00033C3D" w:rsidRDefault="009B3F29" w:rsidP="009B3F29">
      <w:pPr>
        <w:numPr>
          <w:ilvl w:val="1"/>
          <w:numId w:val="5"/>
        </w:numPr>
        <w:tabs>
          <w:tab w:val="clear" w:pos="792"/>
        </w:tabs>
        <w:spacing w:after="0" w:line="240" w:lineRule="auto"/>
        <w:ind w:left="1418" w:hanging="431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на основе цен </w:t>
      </w:r>
      <w:r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блигаций без учета НКД и без реинвестирования купонных платежей (далее </w:t>
      </w:r>
      <w:r w:rsidRPr="004708E7">
        <w:rPr>
          <w:rFonts w:ascii="Tahoma" w:hAnsi="Tahoma" w:cs="Tahoma"/>
          <w:sz w:val="20"/>
          <w:szCs w:val="20"/>
        </w:rPr>
        <w:t>–</w:t>
      </w:r>
      <w:r w:rsidRPr="00033C3D">
        <w:rPr>
          <w:rFonts w:ascii="Tahoma" w:hAnsi="Tahoma" w:cs="Tahoma"/>
          <w:sz w:val="20"/>
          <w:szCs w:val="20"/>
        </w:rPr>
        <w:t xml:space="preserve"> ценовой индекс);</w:t>
      </w:r>
    </w:p>
    <w:p w14:paraId="216E4DD5" w14:textId="77777777" w:rsidR="009B3F29" w:rsidRDefault="009B3F29" w:rsidP="009B3F29">
      <w:pPr>
        <w:numPr>
          <w:ilvl w:val="1"/>
          <w:numId w:val="5"/>
        </w:numPr>
        <w:tabs>
          <w:tab w:val="clear" w:pos="792"/>
        </w:tabs>
        <w:spacing w:after="0" w:line="240" w:lineRule="auto"/>
        <w:ind w:left="1418" w:hanging="431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на основе стоимости </w:t>
      </w:r>
      <w:r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блигаций, определяемой как сумма цены и НКД </w:t>
      </w:r>
      <w:r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блигации, с учетом реинвестирования купонных платежей (далее </w:t>
      </w:r>
      <w:r w:rsidRPr="004708E7">
        <w:rPr>
          <w:rFonts w:ascii="Tahoma" w:hAnsi="Tahoma" w:cs="Tahoma"/>
          <w:sz w:val="20"/>
          <w:szCs w:val="20"/>
        </w:rPr>
        <w:t>–</w:t>
      </w:r>
      <w:r w:rsidRPr="00033C3D">
        <w:rPr>
          <w:rFonts w:ascii="Tahoma" w:hAnsi="Tahoma" w:cs="Tahoma"/>
          <w:sz w:val="20"/>
          <w:szCs w:val="20"/>
        </w:rPr>
        <w:t xml:space="preserve"> индекс совокупного дохода).</w:t>
      </w:r>
    </w:p>
    <w:p w14:paraId="1FAC960F" w14:textId="77777777" w:rsidR="009B3F29" w:rsidRPr="00C74192" w:rsidRDefault="009B3F29" w:rsidP="009B3F29">
      <w:pPr>
        <w:numPr>
          <w:ilvl w:val="3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4192">
        <w:rPr>
          <w:rFonts w:ascii="Tahoma" w:hAnsi="Tahoma" w:cs="Tahoma"/>
          <w:sz w:val="20"/>
          <w:szCs w:val="20"/>
        </w:rPr>
        <w:t>Расчет ценового индекса производится по следующей формуле:</w:t>
      </w:r>
    </w:p>
    <w:p w14:paraId="3B058156" w14:textId="77777777" w:rsidR="009B3F29" w:rsidRDefault="009B3F29" w:rsidP="009B3F29">
      <w:pPr>
        <w:jc w:val="both"/>
        <w:rPr>
          <w:rStyle w:val="a5"/>
          <w:rFonts w:ascii="Tahoma" w:hAnsi="Tahoma" w:cs="Tahoma"/>
        </w:rPr>
      </w:pPr>
    </w:p>
    <w:p w14:paraId="5D3F8972" w14:textId="77777777" w:rsidR="009B3F29" w:rsidRDefault="00DA567F" w:rsidP="009B3F29">
      <w:pPr>
        <w:ind w:left="972"/>
        <w:jc w:val="center"/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988C602" w14:textId="77777777" w:rsidR="009B3F29" w:rsidRDefault="009B3F29" w:rsidP="009B3F29">
      <w:pPr>
        <w:pStyle w:val="a6"/>
        <w:rPr>
          <w:rFonts w:cs="Tahoma"/>
        </w:rPr>
      </w:pPr>
      <w:r>
        <w:rPr>
          <w:rFonts w:cs="Tahoma"/>
        </w:rPr>
        <w:t>где:</w:t>
      </w:r>
    </w:p>
    <w:p w14:paraId="3F2134A3" w14:textId="77777777" w:rsidR="009B3F29" w:rsidRDefault="009B3F29" w:rsidP="009B3F29">
      <w:pPr>
        <w:pStyle w:val="a6"/>
        <w:rPr>
          <w:rFonts w:cs="Tahoma"/>
        </w:rPr>
      </w:pPr>
      <w:r>
        <w:rPr>
          <w:lang w:val="en-US"/>
        </w:rPr>
        <w:t>P</w:t>
      </w:r>
      <w:proofErr w:type="spellStart"/>
      <w:r>
        <w:t>I</w:t>
      </w:r>
      <w:r>
        <w:rPr>
          <w:vertAlign w:val="subscript"/>
        </w:rPr>
        <w:t>n</w:t>
      </w:r>
      <w:proofErr w:type="spellEnd"/>
      <w:r>
        <w:t xml:space="preserve"> </w:t>
      </w:r>
      <w:r>
        <w:rPr>
          <w:rFonts w:cs="Tahoma"/>
        </w:rPr>
        <w:t>–</w:t>
      </w:r>
      <w:r>
        <w:t xml:space="preserve"> </w:t>
      </w:r>
      <w:r>
        <w:rPr>
          <w:rFonts w:cs="Tahoma"/>
        </w:rPr>
        <w:t xml:space="preserve">значение ценового Индекса в день </w:t>
      </w:r>
      <w:r>
        <w:rPr>
          <w:rFonts w:cs="Tahoma"/>
          <w:lang w:val="en-US"/>
        </w:rPr>
        <w:t>n</w:t>
      </w:r>
      <w:r>
        <w:rPr>
          <w:rFonts w:cs="Tahoma"/>
        </w:rPr>
        <w:t>;</w:t>
      </w:r>
    </w:p>
    <w:p w14:paraId="77ED18FE" w14:textId="77777777" w:rsidR="009B3F29" w:rsidRDefault="009B3F29" w:rsidP="009B3F29">
      <w:pPr>
        <w:pStyle w:val="a6"/>
        <w:rPr>
          <w:rFonts w:cs="Tahoma"/>
        </w:rPr>
      </w:pPr>
      <w:proofErr w:type="gramStart"/>
      <w:r>
        <w:rPr>
          <w:rFonts w:cs="Tahoma"/>
          <w:lang w:val="en-US"/>
        </w:rPr>
        <w:t>P</w:t>
      </w:r>
      <w:r>
        <w:rPr>
          <w:rFonts w:cs="Tahoma"/>
          <w:vertAlign w:val="subscript"/>
          <w:lang w:val="en-US"/>
        </w:rPr>
        <w:t>i</w:t>
      </w:r>
      <w:r>
        <w:rPr>
          <w:rFonts w:cs="Tahoma"/>
          <w:vertAlign w:val="subscript"/>
        </w:rPr>
        <w:t>,</w:t>
      </w:r>
      <w:r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</w:rPr>
        <w:t xml:space="preserve"> – средневзвешенная цена Облигации </w:t>
      </w:r>
      <w:proofErr w:type="spellStart"/>
      <w:r>
        <w:rPr>
          <w:rFonts w:cs="Tahoma"/>
          <w:lang w:val="en-US"/>
        </w:rPr>
        <w:t>i</w:t>
      </w:r>
      <w:proofErr w:type="spellEnd"/>
      <w:r>
        <w:rPr>
          <w:rFonts w:cs="Tahoma"/>
        </w:rPr>
        <w:t xml:space="preserve">-го выпуска в момент день </w:t>
      </w:r>
      <w:r>
        <w:rPr>
          <w:rFonts w:cs="Tahoma"/>
          <w:lang w:val="en-US"/>
        </w:rPr>
        <w:t>n</w:t>
      </w:r>
      <w:r>
        <w:rPr>
          <w:rFonts w:cs="Tahoma"/>
        </w:rPr>
        <w:t>, выраженная в процентах от номинала;</w:t>
      </w:r>
    </w:p>
    <w:p w14:paraId="5DE4C8EC" w14:textId="77777777" w:rsidR="009B3F29" w:rsidRDefault="009B3F29" w:rsidP="009B3F29">
      <w:pPr>
        <w:pStyle w:val="a6"/>
        <w:rPr>
          <w:rFonts w:cs="Tahoma"/>
        </w:rPr>
      </w:pPr>
      <w:proofErr w:type="gramStart"/>
      <w:r>
        <w:rPr>
          <w:rFonts w:cs="Tahoma"/>
          <w:lang w:val="en-US"/>
        </w:rPr>
        <w:t>FV</w:t>
      </w:r>
      <w:r>
        <w:rPr>
          <w:rFonts w:cs="Tahoma"/>
          <w:vertAlign w:val="subscript"/>
          <w:lang w:val="en-US"/>
        </w:rPr>
        <w:t>i</w:t>
      </w:r>
      <w:r>
        <w:rPr>
          <w:rFonts w:cs="Tahoma"/>
          <w:vertAlign w:val="subscript"/>
        </w:rPr>
        <w:t>,</w:t>
      </w:r>
      <w:r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</w:rPr>
        <w:t xml:space="preserve"> – номинал Облигации </w:t>
      </w:r>
      <w:proofErr w:type="spellStart"/>
      <w:r>
        <w:rPr>
          <w:rFonts w:cs="Tahoma"/>
          <w:lang w:val="en-US"/>
        </w:rPr>
        <w:t>i</w:t>
      </w:r>
      <w:proofErr w:type="spellEnd"/>
      <w:r>
        <w:rPr>
          <w:rFonts w:cs="Tahoma"/>
        </w:rPr>
        <w:t xml:space="preserve">-го выпуска в день </w:t>
      </w:r>
      <w:r>
        <w:rPr>
          <w:rFonts w:cs="Tahoma"/>
          <w:lang w:val="en-US"/>
        </w:rPr>
        <w:t>n</w:t>
      </w:r>
      <w:r>
        <w:rPr>
          <w:rFonts w:cs="Tahoma"/>
        </w:rPr>
        <w:t>, выраженный в рублях;</w:t>
      </w:r>
    </w:p>
    <w:p w14:paraId="2CFD014B" w14:textId="77777777" w:rsidR="009B3F29" w:rsidRDefault="009B3F29" w:rsidP="009B3F29">
      <w:pPr>
        <w:pStyle w:val="a6"/>
        <w:rPr>
          <w:rFonts w:cs="Tahoma"/>
        </w:rPr>
      </w:pPr>
      <w:proofErr w:type="gramStart"/>
      <w:r>
        <w:rPr>
          <w:rFonts w:cs="Tahoma"/>
          <w:lang w:val="en-US"/>
        </w:rPr>
        <w:t>N</w:t>
      </w:r>
      <w:r>
        <w:rPr>
          <w:rFonts w:cs="Tahoma"/>
          <w:vertAlign w:val="subscript"/>
          <w:lang w:val="en-US"/>
        </w:rPr>
        <w:t>i</w:t>
      </w:r>
      <w:r>
        <w:rPr>
          <w:rFonts w:cs="Tahoma"/>
          <w:vertAlign w:val="subscript"/>
        </w:rPr>
        <w:t>,</w:t>
      </w:r>
      <w:r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</w:rPr>
        <w:t xml:space="preserve"> – объем </w:t>
      </w:r>
      <w:proofErr w:type="spellStart"/>
      <w:r>
        <w:rPr>
          <w:rFonts w:cs="Tahoma"/>
          <w:lang w:val="en-US"/>
        </w:rPr>
        <w:t>i</w:t>
      </w:r>
      <w:proofErr w:type="spellEnd"/>
      <w:r>
        <w:rPr>
          <w:rFonts w:cs="Tahoma"/>
        </w:rPr>
        <w:t xml:space="preserve">-го выпуска Облигаций в день </w:t>
      </w:r>
      <w:r>
        <w:rPr>
          <w:rFonts w:cs="Tahoma"/>
          <w:lang w:val="en-US"/>
        </w:rPr>
        <w:t>n</w:t>
      </w:r>
      <w:r>
        <w:rPr>
          <w:rFonts w:cs="Tahoma"/>
        </w:rPr>
        <w:t>, выраженный в штуках ценных бумаг;</w:t>
      </w:r>
    </w:p>
    <w:p w14:paraId="012761E2" w14:textId="77777777" w:rsidR="009B3F29" w:rsidRDefault="009B3F29" w:rsidP="009B3F29">
      <w:pPr>
        <w:pStyle w:val="a6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>
        <w:rPr>
          <w:rFonts w:cs="Tahoma"/>
          <w:vertAlign w:val="subscript"/>
          <w:lang w:val="en-US"/>
        </w:rPr>
        <w:t>i</w:t>
      </w:r>
      <w:r>
        <w:rPr>
          <w:rFonts w:cs="Tahoma"/>
          <w:vertAlign w:val="subscript"/>
        </w:rPr>
        <w:t>,</w:t>
      </w:r>
      <w:r>
        <w:rPr>
          <w:rFonts w:cs="Tahoma"/>
          <w:vertAlign w:val="subscript"/>
          <w:lang w:val="en-US"/>
        </w:rPr>
        <w:t>n</w:t>
      </w:r>
      <w:proofErr w:type="gramEnd"/>
      <w:r>
        <w:rPr>
          <w:rFonts w:cs="Tahoma"/>
        </w:rPr>
        <w:t xml:space="preserve"> – коэффициент, ограничивающий долю капитализации i-ой Облигации (Весовой коэффициент), равен 1, если иное не установлено в соответствии с п.4.1 Методики. </w:t>
      </w:r>
    </w:p>
    <w:p w14:paraId="5EE2C117" w14:textId="77777777" w:rsidR="009B3F29" w:rsidRPr="00C74192" w:rsidRDefault="009B3F29" w:rsidP="009B3F29">
      <w:pPr>
        <w:numPr>
          <w:ilvl w:val="3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4192">
        <w:rPr>
          <w:rFonts w:ascii="Tahoma" w:hAnsi="Tahoma" w:cs="Tahoma"/>
          <w:sz w:val="20"/>
          <w:szCs w:val="20"/>
        </w:rPr>
        <w:t xml:space="preserve">Расчет </w:t>
      </w:r>
      <w:r>
        <w:rPr>
          <w:rFonts w:ascii="Tahoma" w:hAnsi="Tahoma" w:cs="Tahoma"/>
          <w:sz w:val="20"/>
          <w:szCs w:val="20"/>
        </w:rPr>
        <w:t>и</w:t>
      </w:r>
      <w:r w:rsidRPr="00C74192">
        <w:rPr>
          <w:rFonts w:ascii="Tahoma" w:hAnsi="Tahoma" w:cs="Tahoma"/>
          <w:sz w:val="20"/>
          <w:szCs w:val="20"/>
        </w:rPr>
        <w:t>ндекс</w:t>
      </w:r>
      <w:r>
        <w:rPr>
          <w:rFonts w:ascii="Tahoma" w:hAnsi="Tahoma" w:cs="Tahoma"/>
          <w:sz w:val="20"/>
          <w:szCs w:val="20"/>
        </w:rPr>
        <w:t>а</w:t>
      </w:r>
      <w:r w:rsidRPr="00C74192">
        <w:rPr>
          <w:rFonts w:ascii="Tahoma" w:hAnsi="Tahoma" w:cs="Tahoma"/>
          <w:sz w:val="20"/>
          <w:szCs w:val="20"/>
        </w:rPr>
        <w:t xml:space="preserve"> совокупного дохода производится по следующей формуле:</w:t>
      </w:r>
    </w:p>
    <w:p w14:paraId="3C166CB8" w14:textId="77777777" w:rsidR="009B3F29" w:rsidRDefault="009B3F29" w:rsidP="009B3F29">
      <w:pPr>
        <w:ind w:left="1224"/>
        <w:jc w:val="both"/>
        <w:rPr>
          <w:rStyle w:val="a5"/>
          <w:rFonts w:ascii="Tahoma" w:hAnsi="Tahoma" w:cs="Tahoma"/>
        </w:rPr>
      </w:pPr>
    </w:p>
    <w:p w14:paraId="43559A39" w14:textId="77777777" w:rsidR="009B3F29" w:rsidRDefault="00DA567F" w:rsidP="009B3F29">
      <w:pPr>
        <w:ind w:left="1224"/>
        <w:jc w:val="center"/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460A4C35" w14:textId="77777777" w:rsidR="009B3F29" w:rsidRDefault="009B3F29" w:rsidP="009B3F29">
      <w:pPr>
        <w:ind w:left="155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где:</w:t>
      </w:r>
    </w:p>
    <w:p w14:paraId="141A5C62" w14:textId="77777777" w:rsidR="009B3F29" w:rsidRDefault="009B3F29" w:rsidP="009B3F29">
      <w:pPr>
        <w:pStyle w:val="a6"/>
      </w:pPr>
      <w:proofErr w:type="spellStart"/>
      <w:r>
        <w:rPr>
          <w:lang w:val="en-US"/>
        </w:rPr>
        <w:t>CIn</w:t>
      </w:r>
      <w:proofErr w:type="spellEnd"/>
      <w:r>
        <w:t xml:space="preserve"> – значение Индекса совокупного дохода в день </w:t>
      </w:r>
      <w:r>
        <w:rPr>
          <w:lang w:val="en-US"/>
        </w:rPr>
        <w:t>n</w:t>
      </w:r>
      <w:r>
        <w:t>;</w:t>
      </w:r>
    </w:p>
    <w:p w14:paraId="5256C7E2" w14:textId="77777777" w:rsidR="009B3F29" w:rsidRDefault="009B3F29" w:rsidP="009B3F29">
      <w:pPr>
        <w:pStyle w:val="a6"/>
      </w:pPr>
      <w:proofErr w:type="gramStart"/>
      <w:r>
        <w:rPr>
          <w:lang w:val="en-US"/>
        </w:rPr>
        <w:t>Pi</w:t>
      </w:r>
      <w:r>
        <w:t>,</w:t>
      </w:r>
      <w:r>
        <w:rPr>
          <w:lang w:val="en-US"/>
        </w:rPr>
        <w:t>n</w:t>
      </w:r>
      <w:proofErr w:type="gramEnd"/>
      <w:r>
        <w:t xml:space="preserve"> – средневзвешенная цена Облигации </w:t>
      </w:r>
      <w:proofErr w:type="spellStart"/>
      <w:r>
        <w:rPr>
          <w:lang w:val="en-US"/>
        </w:rPr>
        <w:t>i</w:t>
      </w:r>
      <w:proofErr w:type="spellEnd"/>
      <w:r>
        <w:t xml:space="preserve">-го выпуска в день </w:t>
      </w:r>
      <w:r>
        <w:rPr>
          <w:lang w:val="en-US"/>
        </w:rPr>
        <w:t>n</w:t>
      </w:r>
      <w:r>
        <w:t>, выраженная в процентах от номинала;</w:t>
      </w:r>
    </w:p>
    <w:p w14:paraId="663F105A" w14:textId="77777777" w:rsidR="009B3F29" w:rsidRDefault="009B3F29" w:rsidP="009B3F29">
      <w:pPr>
        <w:pStyle w:val="a6"/>
      </w:pPr>
      <w:proofErr w:type="gramStart"/>
      <w:r>
        <w:rPr>
          <w:lang w:val="en-US"/>
        </w:rPr>
        <w:t>FVi</w:t>
      </w:r>
      <w:r>
        <w:t>,</w:t>
      </w:r>
      <w:r>
        <w:rPr>
          <w:lang w:val="en-US"/>
        </w:rPr>
        <w:t>n</w:t>
      </w:r>
      <w:proofErr w:type="gramEnd"/>
      <w:r>
        <w:t xml:space="preserve"> – номинал Облигации </w:t>
      </w:r>
      <w:proofErr w:type="spellStart"/>
      <w:r>
        <w:rPr>
          <w:lang w:val="en-US"/>
        </w:rPr>
        <w:t>i</w:t>
      </w:r>
      <w:proofErr w:type="spellEnd"/>
      <w:r>
        <w:t xml:space="preserve">-го выпуска в день </w:t>
      </w:r>
      <w:r>
        <w:rPr>
          <w:lang w:val="en-US"/>
        </w:rPr>
        <w:t>n</w:t>
      </w:r>
      <w:r>
        <w:t>, выраженный в рублях;</w:t>
      </w:r>
    </w:p>
    <w:p w14:paraId="1C633213" w14:textId="77777777" w:rsidR="009B3F29" w:rsidRDefault="009B3F29" w:rsidP="009B3F29">
      <w:pPr>
        <w:pStyle w:val="a6"/>
      </w:pPr>
      <w:proofErr w:type="gramStart"/>
      <w:r>
        <w:rPr>
          <w:lang w:val="en-US"/>
        </w:rPr>
        <w:t>Ai</w:t>
      </w:r>
      <w:r>
        <w:t>,</w:t>
      </w:r>
      <w:r>
        <w:rPr>
          <w:lang w:val="en-US"/>
        </w:rPr>
        <w:t>n</w:t>
      </w:r>
      <w:proofErr w:type="gramEnd"/>
      <w:r>
        <w:t xml:space="preserve"> – накопленный купонный доход Облигации </w:t>
      </w:r>
      <w:proofErr w:type="spellStart"/>
      <w:r>
        <w:rPr>
          <w:lang w:val="en-US"/>
        </w:rPr>
        <w:t>i</w:t>
      </w:r>
      <w:proofErr w:type="spellEnd"/>
      <w:r>
        <w:t xml:space="preserve">-го выпуска в день </w:t>
      </w:r>
      <w:r>
        <w:rPr>
          <w:lang w:val="en-US"/>
        </w:rPr>
        <w:t>n</w:t>
      </w:r>
      <w:r>
        <w:t>, выраженный в рублях;</w:t>
      </w:r>
    </w:p>
    <w:p w14:paraId="2484D387" w14:textId="77777777" w:rsidR="009B3F29" w:rsidRDefault="009B3F29" w:rsidP="009B3F29">
      <w:pPr>
        <w:pStyle w:val="a6"/>
      </w:pPr>
      <w:proofErr w:type="gramStart"/>
      <w:r>
        <w:rPr>
          <w:lang w:val="en-US"/>
        </w:rPr>
        <w:t>Gi</w:t>
      </w:r>
      <w:r>
        <w:t>,</w:t>
      </w:r>
      <w:r>
        <w:rPr>
          <w:lang w:val="en-US"/>
        </w:rPr>
        <w:t>n</w:t>
      </w:r>
      <w:proofErr w:type="gramEnd"/>
      <w:r>
        <w:t xml:space="preserve"> – сумма выплаченного в день </w:t>
      </w:r>
      <w:r>
        <w:rPr>
          <w:lang w:val="en-US"/>
        </w:rPr>
        <w:t>n</w:t>
      </w:r>
      <w:r>
        <w:t xml:space="preserve"> купонного дохода по Облигации </w:t>
      </w:r>
      <w:proofErr w:type="spellStart"/>
      <w:r>
        <w:rPr>
          <w:lang w:val="en-US"/>
        </w:rPr>
        <w:t>i</w:t>
      </w:r>
      <w:proofErr w:type="spellEnd"/>
      <w:r>
        <w:t xml:space="preserve">-го выпуска в день </w:t>
      </w:r>
      <w:r>
        <w:rPr>
          <w:lang w:val="en-US"/>
        </w:rPr>
        <w:t>n</w:t>
      </w:r>
      <w:r>
        <w:t>, выраженная в рублях;</w:t>
      </w:r>
    </w:p>
    <w:p w14:paraId="16B3A69B" w14:textId="77777777" w:rsidR="009B3F29" w:rsidRDefault="009B3F29" w:rsidP="009B3F29">
      <w:pPr>
        <w:pStyle w:val="a6"/>
      </w:pPr>
      <w:proofErr w:type="gramStart"/>
      <w:r>
        <w:rPr>
          <w:lang w:val="en-US"/>
        </w:rPr>
        <w:t>Ni</w:t>
      </w:r>
      <w:r>
        <w:t>,</w:t>
      </w:r>
      <w:r>
        <w:rPr>
          <w:lang w:val="en-US"/>
        </w:rPr>
        <w:t>n</w:t>
      </w:r>
      <w:proofErr w:type="gramEnd"/>
      <w:r>
        <w:t xml:space="preserve"> – объем </w:t>
      </w:r>
      <w:proofErr w:type="spellStart"/>
      <w:r>
        <w:rPr>
          <w:lang w:val="en-US"/>
        </w:rPr>
        <w:t>i</w:t>
      </w:r>
      <w:proofErr w:type="spellEnd"/>
      <w:r>
        <w:t xml:space="preserve">-го выпуска Облигаций в день </w:t>
      </w:r>
      <w:r>
        <w:rPr>
          <w:lang w:val="en-US"/>
        </w:rPr>
        <w:t>n</w:t>
      </w:r>
      <w:r>
        <w:t>, выраженный в штуках ценных бумаг;</w:t>
      </w:r>
    </w:p>
    <w:p w14:paraId="050B4382" w14:textId="77777777" w:rsidR="009B3F29" w:rsidRDefault="009B3F29" w:rsidP="009B3F29">
      <w:pPr>
        <w:pStyle w:val="a6"/>
      </w:pPr>
      <w:proofErr w:type="gramStart"/>
      <w:r>
        <w:rPr>
          <w:lang w:val="en-US"/>
        </w:rPr>
        <w:t>Wi</w:t>
      </w:r>
      <w:r>
        <w:t>,</w:t>
      </w:r>
      <w:r>
        <w:rPr>
          <w:lang w:val="en-US"/>
        </w:rPr>
        <w:t>n</w:t>
      </w:r>
      <w:proofErr w:type="gramEnd"/>
      <w:r>
        <w:t xml:space="preserve"> – коэффициент, ограничивающий долю капитализации </w:t>
      </w:r>
      <w:proofErr w:type="spellStart"/>
      <w:r>
        <w:rPr>
          <w:lang w:val="en-US"/>
        </w:rPr>
        <w:t>i</w:t>
      </w:r>
      <w:proofErr w:type="spellEnd"/>
      <w:r>
        <w:t xml:space="preserve">-ой Облигации (Весовой коэффициент), равен 1, если иное не установлено в соответствии с </w:t>
      </w:r>
      <w:r>
        <w:rPr>
          <w:rFonts w:cs="Tahoma"/>
        </w:rPr>
        <w:t>п.4.1 Методики</w:t>
      </w:r>
      <w:r>
        <w:t>.</w:t>
      </w:r>
    </w:p>
    <w:p w14:paraId="1C297260" w14:textId="77777777" w:rsidR="009B3F29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>отсутствия цены О</w:t>
      </w:r>
      <w:r w:rsidRPr="00033C3D">
        <w:rPr>
          <w:rFonts w:ascii="Tahoma" w:hAnsi="Tahoma" w:cs="Tahoma"/>
          <w:sz w:val="20"/>
          <w:szCs w:val="20"/>
        </w:rPr>
        <w:t>блигации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такого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bookmarkEnd w:id="5"/>
    <w:p w14:paraId="7D157D6D" w14:textId="77777777" w:rsidR="009B3F29" w:rsidRPr="00033C3D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>
        <w:rPr>
          <w:rFonts w:ascii="Tahoma" w:hAnsi="Tahoma" w:cs="Tahoma"/>
          <w:sz w:val="20"/>
          <w:szCs w:val="20"/>
        </w:rPr>
        <w:t>Индексов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</w:t>
      </w:r>
      <w:r>
        <w:rPr>
          <w:rFonts w:ascii="Tahoma" w:hAnsi="Tahoma" w:cs="Tahoma"/>
          <w:sz w:val="20"/>
          <w:szCs w:val="20"/>
        </w:rPr>
        <w:t xml:space="preserve"> по правилу математического округления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3C79B369" w14:textId="77777777" w:rsidR="009B3F29" w:rsidRPr="00033C3D" w:rsidRDefault="009B3F29" w:rsidP="009B3F29">
      <w:pPr>
        <w:numPr>
          <w:ilvl w:val="1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>
        <w:rPr>
          <w:rFonts w:ascii="Tahoma" w:hAnsi="Tahoma" w:cs="Tahoma"/>
          <w:sz w:val="20"/>
          <w:szCs w:val="20"/>
        </w:rPr>
        <w:t xml:space="preserve"> Индекса </w:t>
      </w:r>
      <w:r w:rsidRPr="003E2DCD">
        <w:rPr>
          <w:rFonts w:ascii="Tahoma" w:hAnsi="Tahoma" w:cs="Tahoma"/>
          <w:sz w:val="20"/>
          <w:szCs w:val="20"/>
        </w:rPr>
        <w:t>04.02.2019</w:t>
      </w:r>
      <w:r>
        <w:rPr>
          <w:rFonts w:ascii="Tahoma" w:hAnsi="Tahoma" w:cs="Tahoma"/>
          <w:sz w:val="20"/>
          <w:szCs w:val="20"/>
        </w:rPr>
        <w:t xml:space="preserve"> г.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Индекса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23E4A3E1" w14:textId="77777777" w:rsidR="009B3F29" w:rsidRPr="00033C3D" w:rsidRDefault="009B3F29" w:rsidP="009B3F29">
      <w:pPr>
        <w:rPr>
          <w:rFonts w:ascii="Tahoma" w:hAnsi="Tahoma" w:cs="Tahoma"/>
          <w:sz w:val="20"/>
          <w:szCs w:val="20"/>
        </w:rPr>
      </w:pPr>
    </w:p>
    <w:p w14:paraId="156FB553" w14:textId="77777777" w:rsidR="009B3F29" w:rsidRPr="00033C3D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6" w:name="_Toc74224504"/>
      <w:bookmarkStart w:id="7" w:name="Р_4"/>
      <w:r>
        <w:rPr>
          <w:rFonts w:ascii="Tahoma" w:hAnsi="Tahoma" w:cs="Tahoma"/>
          <w:b/>
          <w:sz w:val="20"/>
          <w:szCs w:val="20"/>
        </w:rPr>
        <w:t>Формирование и пересмотр Базы</w:t>
      </w:r>
      <w:r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6"/>
    </w:p>
    <w:p w14:paraId="798BE8AC" w14:textId="77777777" w:rsidR="009B3F29" w:rsidRPr="00F77E97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8" w:name="п_4_7"/>
      <w:bookmarkStart w:id="9" w:name="_Ref181774352"/>
      <w:bookmarkEnd w:id="7"/>
      <w:r>
        <w:rPr>
          <w:rFonts w:ascii="Tahoma" w:hAnsi="Tahoma" w:cs="Tahoma"/>
          <w:sz w:val="20"/>
          <w:szCs w:val="20"/>
        </w:rPr>
        <w:t xml:space="preserve">Максимальное количество Облигаций в Базе расчета индекса </w:t>
      </w:r>
      <w:r w:rsidRPr="003E2DCD">
        <w:rPr>
          <w:rFonts w:ascii="Tahoma" w:hAnsi="Tahoma" w:cs="Tahoma"/>
          <w:sz w:val="20"/>
          <w:szCs w:val="20"/>
        </w:rPr>
        <w:t>не ограничено.</w:t>
      </w:r>
      <w:r>
        <w:rPr>
          <w:rFonts w:ascii="Tahoma" w:hAnsi="Tahoma" w:cs="Tahoma"/>
          <w:sz w:val="20"/>
          <w:szCs w:val="20"/>
        </w:rPr>
        <w:t xml:space="preserve"> Минимальное </w:t>
      </w:r>
      <w:r w:rsidRPr="00F77E97">
        <w:rPr>
          <w:rFonts w:ascii="Tahoma" w:hAnsi="Tahoma" w:cs="Tahoma"/>
          <w:sz w:val="20"/>
          <w:szCs w:val="20"/>
        </w:rPr>
        <w:t xml:space="preserve">количество </w:t>
      </w:r>
      <w:r>
        <w:rPr>
          <w:rFonts w:ascii="Tahoma" w:hAnsi="Tahoma" w:cs="Tahoma"/>
          <w:sz w:val="20"/>
          <w:szCs w:val="20"/>
        </w:rPr>
        <w:t>выпусков О</w:t>
      </w:r>
      <w:r w:rsidRPr="00F77E97">
        <w:rPr>
          <w:rFonts w:ascii="Tahoma" w:hAnsi="Tahoma" w:cs="Tahoma"/>
          <w:sz w:val="20"/>
          <w:szCs w:val="20"/>
        </w:rPr>
        <w:t xml:space="preserve">блигаций в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>азе расчета индекса</w:t>
      </w:r>
      <w:r>
        <w:rPr>
          <w:rFonts w:ascii="Tahoma" w:hAnsi="Tahoma" w:cs="Tahoma"/>
          <w:sz w:val="20"/>
          <w:szCs w:val="20"/>
        </w:rPr>
        <w:t xml:space="preserve"> – 2 (два) выпуска Облигаций</w:t>
      </w:r>
      <w:r w:rsidRPr="003E2DC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Pr="00F77E97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>
        <w:rPr>
          <w:rFonts w:ascii="Tahoma" w:hAnsi="Tahoma" w:cs="Tahoma"/>
          <w:sz w:val="20"/>
          <w:szCs w:val="20"/>
        </w:rPr>
        <w:t>О</w:t>
      </w:r>
      <w:r w:rsidRPr="00F77E97">
        <w:rPr>
          <w:rFonts w:ascii="Tahoma" w:hAnsi="Tahoma" w:cs="Tahoma"/>
          <w:sz w:val="20"/>
          <w:szCs w:val="20"/>
        </w:rPr>
        <w:t xml:space="preserve">блигаций составляет менее </w:t>
      </w:r>
      <w:r w:rsidRPr="003E2DCD">
        <w:rPr>
          <w:rFonts w:ascii="Tahoma" w:hAnsi="Tahoma" w:cs="Tahoma"/>
          <w:sz w:val="20"/>
          <w:szCs w:val="20"/>
        </w:rPr>
        <w:t>двух</w:t>
      </w:r>
      <w:r w:rsidRPr="00F77E97">
        <w:rPr>
          <w:rFonts w:ascii="Tahoma" w:hAnsi="Tahoma" w:cs="Tahoma"/>
          <w:sz w:val="20"/>
          <w:szCs w:val="20"/>
        </w:rPr>
        <w:t xml:space="preserve">, расчет индекса на период до очередного пересмотра и введения в действие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 xml:space="preserve">азы расчета не производится. В этом случае на срок до очередного пересмотра и введения в действия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 xml:space="preserve">азы расчета значение индекса, рассчитанное на последнюю дату действия предыдущей </w:t>
      </w:r>
      <w:r>
        <w:rPr>
          <w:rFonts w:ascii="Tahoma" w:hAnsi="Tahoma" w:cs="Tahoma"/>
          <w:sz w:val="20"/>
          <w:szCs w:val="20"/>
        </w:rPr>
        <w:t>Б</w:t>
      </w:r>
      <w:r w:rsidRPr="00F77E97">
        <w:rPr>
          <w:rFonts w:ascii="Tahoma" w:hAnsi="Tahoma" w:cs="Tahoma"/>
          <w:sz w:val="20"/>
          <w:szCs w:val="20"/>
        </w:rPr>
        <w:t>азы расчета, остается неизменным.</w:t>
      </w:r>
    </w:p>
    <w:p w14:paraId="0769FF2E" w14:textId="77777777" w:rsidR="009B3F29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Облиг</w:t>
      </w:r>
      <w:r w:rsidRPr="00033C3D">
        <w:rPr>
          <w:rFonts w:ascii="Tahoma" w:hAnsi="Tahoma" w:cs="Tahoma"/>
          <w:sz w:val="20"/>
          <w:szCs w:val="20"/>
        </w:rPr>
        <w:t>ации</w:t>
      </w:r>
      <w:r>
        <w:rPr>
          <w:rFonts w:ascii="Tahoma" w:hAnsi="Tahoma" w:cs="Tahoma"/>
          <w:sz w:val="20"/>
          <w:szCs w:val="20"/>
        </w:rPr>
        <w:t xml:space="preserve"> могут быть</w:t>
      </w:r>
      <w:r w:rsidRPr="00033C3D">
        <w:rPr>
          <w:rFonts w:ascii="Tahoma" w:hAnsi="Tahoma" w:cs="Tahoma"/>
          <w:sz w:val="20"/>
          <w:szCs w:val="20"/>
        </w:rPr>
        <w:t xml:space="preserve"> включ</w:t>
      </w:r>
      <w:r>
        <w:rPr>
          <w:rFonts w:ascii="Tahoma" w:hAnsi="Tahoma" w:cs="Tahoma"/>
          <w:sz w:val="20"/>
          <w:szCs w:val="20"/>
        </w:rPr>
        <w:t>ены</w:t>
      </w:r>
      <w:r w:rsidRPr="00033C3D">
        <w:rPr>
          <w:rFonts w:ascii="Tahoma" w:hAnsi="Tahoma" w:cs="Tahoma"/>
          <w:sz w:val="20"/>
          <w:szCs w:val="20"/>
        </w:rPr>
        <w:t xml:space="preserve"> в </w:t>
      </w:r>
      <w:r>
        <w:rPr>
          <w:rFonts w:ascii="Tahoma" w:hAnsi="Tahoma" w:cs="Tahoma"/>
          <w:sz w:val="20"/>
          <w:szCs w:val="20"/>
        </w:rPr>
        <w:t>Базу</w:t>
      </w:r>
      <w:r w:rsidRPr="00033C3D">
        <w:rPr>
          <w:rFonts w:ascii="Tahoma" w:hAnsi="Tahoma" w:cs="Tahoma"/>
          <w:sz w:val="20"/>
          <w:szCs w:val="20"/>
        </w:rPr>
        <w:t xml:space="preserve"> расчета, если они соответствуют </w:t>
      </w:r>
      <w:r>
        <w:rPr>
          <w:rFonts w:ascii="Tahoma" w:hAnsi="Tahoma" w:cs="Tahoma"/>
          <w:sz w:val="20"/>
          <w:szCs w:val="20"/>
        </w:rPr>
        <w:t>следующим требованиям:</w:t>
      </w:r>
    </w:p>
    <w:p w14:paraId="086F4262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Валютой выпуска Облигаций являются рубли Российской Федерации.</w:t>
      </w:r>
    </w:p>
    <w:p w14:paraId="2F5265B2" w14:textId="77777777" w:rsidR="009B3F29" w:rsidRPr="003E2DCD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3E2DCD">
        <w:rPr>
          <w:rFonts w:ascii="Tahoma" w:hAnsi="Tahoma" w:cs="Tahoma"/>
          <w:sz w:val="20"/>
          <w:szCs w:val="20"/>
        </w:rPr>
        <w:t xml:space="preserve">Облигации </w:t>
      </w:r>
      <w:r>
        <w:rPr>
          <w:rFonts w:ascii="Tahoma" w:hAnsi="Tahoma" w:cs="Tahoma"/>
          <w:sz w:val="20"/>
          <w:szCs w:val="20"/>
        </w:rPr>
        <w:t xml:space="preserve">выпущены </w:t>
      </w:r>
      <w:r w:rsidRPr="003E2DCD">
        <w:rPr>
          <w:rFonts w:ascii="Tahoma" w:hAnsi="Tahoma" w:cs="Tahoma"/>
          <w:sz w:val="20"/>
          <w:szCs w:val="20"/>
        </w:rPr>
        <w:t>с фиксированным купоном</w:t>
      </w:r>
      <w:r>
        <w:rPr>
          <w:rFonts w:ascii="Tahoma" w:hAnsi="Tahoma" w:cs="Tahoma"/>
          <w:sz w:val="20"/>
          <w:szCs w:val="20"/>
        </w:rPr>
        <w:t>.</w:t>
      </w:r>
    </w:p>
    <w:p w14:paraId="07142B12" w14:textId="77777777" w:rsidR="009B3F29" w:rsidRPr="003E2DCD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B1FA9">
        <w:rPr>
          <w:rFonts w:ascii="Tahoma" w:hAnsi="Tahoma" w:cs="Tahoma"/>
          <w:sz w:val="20"/>
          <w:szCs w:val="20"/>
        </w:rPr>
        <w:t>Срок</w:t>
      </w:r>
      <w:r>
        <w:rPr>
          <w:rFonts w:ascii="Tahoma" w:hAnsi="Tahoma" w:cs="Tahoma"/>
          <w:sz w:val="20"/>
          <w:szCs w:val="20"/>
        </w:rPr>
        <w:t>и</w:t>
      </w:r>
      <w:r w:rsidRPr="008B1FA9">
        <w:rPr>
          <w:rFonts w:ascii="Tahoma" w:hAnsi="Tahoma" w:cs="Tahoma"/>
          <w:sz w:val="20"/>
          <w:szCs w:val="20"/>
        </w:rPr>
        <w:t xml:space="preserve"> до погашения и до</w:t>
      </w:r>
      <w:r>
        <w:rPr>
          <w:rFonts w:ascii="Tahoma" w:hAnsi="Tahoma" w:cs="Tahoma"/>
          <w:sz w:val="20"/>
          <w:szCs w:val="20"/>
        </w:rPr>
        <w:t xml:space="preserve"> ожидаемой даты</w:t>
      </w:r>
      <w:r w:rsidRPr="008B1FA9">
        <w:rPr>
          <w:rFonts w:ascii="Tahoma" w:hAnsi="Tahoma" w:cs="Tahoma"/>
          <w:sz w:val="20"/>
          <w:szCs w:val="20"/>
        </w:rPr>
        <w:t xml:space="preserve"> ближайшего</w:t>
      </w:r>
      <w:r>
        <w:rPr>
          <w:rFonts w:ascii="Tahoma" w:hAnsi="Tahoma" w:cs="Tahoma"/>
          <w:sz w:val="20"/>
          <w:szCs w:val="20"/>
        </w:rPr>
        <w:t xml:space="preserve"> досрочного погашения выпуска Облигаций </w:t>
      </w:r>
      <w:r w:rsidRPr="006514CE">
        <w:rPr>
          <w:rFonts w:ascii="Tahoma" w:hAnsi="Tahoma" w:cs="Tahoma"/>
          <w:sz w:val="20"/>
          <w:szCs w:val="20"/>
        </w:rPr>
        <w:t xml:space="preserve">в </w:t>
      </w:r>
      <w:r>
        <w:rPr>
          <w:rFonts w:ascii="Tahoma" w:hAnsi="Tahoma" w:cs="Tahoma"/>
          <w:sz w:val="20"/>
          <w:szCs w:val="20"/>
        </w:rPr>
        <w:t>Дату</w:t>
      </w:r>
      <w:r w:rsidRPr="006514CE">
        <w:rPr>
          <w:rFonts w:ascii="Tahoma" w:hAnsi="Tahoma" w:cs="Tahoma"/>
          <w:sz w:val="20"/>
          <w:szCs w:val="20"/>
        </w:rPr>
        <w:t xml:space="preserve">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6514CE">
        <w:rPr>
          <w:rFonts w:ascii="Tahoma" w:hAnsi="Tahoma" w:cs="Tahoma"/>
          <w:sz w:val="20"/>
          <w:szCs w:val="20"/>
        </w:rPr>
        <w:t xml:space="preserve">ы расчета </w:t>
      </w:r>
      <w:r w:rsidRPr="008B1FA9">
        <w:rPr>
          <w:rFonts w:ascii="Tahoma" w:hAnsi="Tahoma" w:cs="Tahoma"/>
          <w:sz w:val="20"/>
          <w:szCs w:val="20"/>
        </w:rPr>
        <w:t>составля</w:t>
      </w:r>
      <w:r>
        <w:rPr>
          <w:rFonts w:ascii="Tahoma" w:hAnsi="Tahoma" w:cs="Tahoma"/>
          <w:sz w:val="20"/>
          <w:szCs w:val="20"/>
        </w:rPr>
        <w:t>ю</w:t>
      </w:r>
      <w:r w:rsidRPr="008B1FA9">
        <w:rPr>
          <w:rFonts w:ascii="Tahoma" w:hAnsi="Tahoma" w:cs="Tahoma"/>
          <w:sz w:val="20"/>
          <w:szCs w:val="20"/>
        </w:rPr>
        <w:t>т</w:t>
      </w:r>
      <w:r>
        <w:rPr>
          <w:rFonts w:ascii="Tahoma" w:hAnsi="Tahoma" w:cs="Tahoma"/>
          <w:sz w:val="20"/>
          <w:szCs w:val="20"/>
        </w:rPr>
        <w:t xml:space="preserve"> </w:t>
      </w:r>
      <w:r w:rsidRPr="003E2DCD">
        <w:rPr>
          <w:rFonts w:ascii="Tahoma" w:hAnsi="Tahoma" w:cs="Tahoma"/>
          <w:sz w:val="20"/>
          <w:szCs w:val="20"/>
        </w:rPr>
        <w:t>не менее 6 месяцев</w:t>
      </w:r>
      <w:r w:rsidRPr="008B1FA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Ожидаемая д</w:t>
      </w:r>
      <w:r w:rsidRPr="003E2DCD">
        <w:rPr>
          <w:rFonts w:ascii="Tahoma" w:hAnsi="Tahoma" w:cs="Tahoma"/>
          <w:sz w:val="20"/>
          <w:szCs w:val="20"/>
        </w:rPr>
        <w:t xml:space="preserve">ата ближайшего досрочного погашения рассчитывается по </w:t>
      </w:r>
      <w:r>
        <w:rPr>
          <w:rFonts w:ascii="Tahoma" w:hAnsi="Tahoma" w:cs="Tahoma"/>
          <w:sz w:val="20"/>
          <w:szCs w:val="20"/>
        </w:rPr>
        <w:t>Ц</w:t>
      </w:r>
      <w:r w:rsidRPr="003E2DCD">
        <w:rPr>
          <w:rFonts w:ascii="Tahoma" w:hAnsi="Tahoma" w:cs="Tahoma"/>
          <w:sz w:val="20"/>
          <w:szCs w:val="20"/>
        </w:rPr>
        <w:t xml:space="preserve">еновой конвенции </w:t>
      </w:r>
      <w:r>
        <w:rPr>
          <w:rFonts w:ascii="Tahoma" w:hAnsi="Tahoma" w:cs="Tahoma"/>
          <w:sz w:val="20"/>
          <w:szCs w:val="20"/>
        </w:rPr>
        <w:t>для ипотечных ценных бумаг, одобренной</w:t>
      </w:r>
      <w:r w:rsidRPr="00061C70">
        <w:rPr>
          <w:rFonts w:ascii="Tahoma" w:hAnsi="Tahoma" w:cs="Tahoma"/>
          <w:sz w:val="20"/>
          <w:szCs w:val="20"/>
        </w:rPr>
        <w:t xml:space="preserve"> Комитетом по ценным бумагам с фиксированным доходом ПАО Московская Биржа</w:t>
      </w:r>
      <w:r w:rsidRPr="003E2DCD">
        <w:rPr>
          <w:rFonts w:ascii="Tahoma" w:hAnsi="Tahoma" w:cs="Tahoma"/>
          <w:sz w:val="20"/>
          <w:szCs w:val="20"/>
        </w:rPr>
        <w:t>.</w:t>
      </w:r>
    </w:p>
    <w:p w14:paraId="2BC4F701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В отношении выпуска Облигаций в Дату формирования Базы расчета реализуется </w:t>
      </w:r>
      <w:proofErr w:type="spellStart"/>
      <w:r>
        <w:rPr>
          <w:rFonts w:ascii="Tahoma" w:hAnsi="Tahoma" w:cs="Tahoma"/>
          <w:sz w:val="20"/>
          <w:szCs w:val="20"/>
        </w:rPr>
        <w:t>маркет-мейкерская</w:t>
      </w:r>
      <w:proofErr w:type="spellEnd"/>
      <w:r>
        <w:rPr>
          <w:rFonts w:ascii="Tahoma" w:hAnsi="Tahoma" w:cs="Tahoma"/>
          <w:sz w:val="20"/>
          <w:szCs w:val="20"/>
        </w:rPr>
        <w:t xml:space="preserve"> программа.</w:t>
      </w:r>
    </w:p>
    <w:p w14:paraId="3E44B44F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781A22">
        <w:rPr>
          <w:rFonts w:ascii="Tahoma" w:hAnsi="Tahoma" w:cs="Tahoma"/>
          <w:sz w:val="20"/>
          <w:szCs w:val="20"/>
        </w:rPr>
        <w:t xml:space="preserve">Количество торговых дней за 3 месяца, предшествующие 1 февраля, 1 мая, 1 августа и 1 ноября, в течение которых </w:t>
      </w:r>
      <w:r>
        <w:rPr>
          <w:rFonts w:ascii="Tahoma" w:hAnsi="Tahoma" w:cs="Tahoma"/>
          <w:sz w:val="20"/>
          <w:szCs w:val="20"/>
        </w:rPr>
        <w:t>по</w:t>
      </w:r>
      <w:r w:rsidRPr="00781A22">
        <w:rPr>
          <w:rFonts w:ascii="Tahoma" w:hAnsi="Tahoma" w:cs="Tahoma"/>
          <w:sz w:val="20"/>
          <w:szCs w:val="20"/>
        </w:rPr>
        <w:t xml:space="preserve"> выпуск</w:t>
      </w:r>
      <w:r>
        <w:rPr>
          <w:rFonts w:ascii="Tahoma" w:hAnsi="Tahoma" w:cs="Tahoma"/>
          <w:sz w:val="20"/>
          <w:szCs w:val="20"/>
        </w:rPr>
        <w:t>у</w:t>
      </w:r>
      <w:r w:rsidRPr="00781A2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</w:t>
      </w:r>
      <w:r w:rsidRPr="00781A22">
        <w:rPr>
          <w:rFonts w:ascii="Tahoma" w:hAnsi="Tahoma" w:cs="Tahoma"/>
          <w:sz w:val="20"/>
          <w:szCs w:val="20"/>
        </w:rPr>
        <w:t xml:space="preserve">блигаций </w:t>
      </w:r>
      <w:r>
        <w:rPr>
          <w:rFonts w:ascii="Tahoma" w:hAnsi="Tahoma" w:cs="Tahoma"/>
          <w:sz w:val="20"/>
          <w:szCs w:val="20"/>
        </w:rPr>
        <w:t xml:space="preserve">определялась цена, </w:t>
      </w:r>
      <w:r w:rsidRPr="00781A22">
        <w:rPr>
          <w:rFonts w:ascii="Tahoma" w:hAnsi="Tahoma" w:cs="Tahoma"/>
          <w:sz w:val="20"/>
          <w:szCs w:val="20"/>
        </w:rPr>
        <w:t xml:space="preserve">составляет не менее </w:t>
      </w:r>
      <w:r>
        <w:rPr>
          <w:rFonts w:ascii="Tahoma" w:hAnsi="Tahoma" w:cs="Tahoma"/>
          <w:sz w:val="20"/>
          <w:szCs w:val="20"/>
        </w:rPr>
        <w:t>5</w:t>
      </w:r>
      <w:r w:rsidRPr="00781A22">
        <w:rPr>
          <w:rFonts w:ascii="Tahoma" w:hAnsi="Tahoma" w:cs="Tahoma"/>
          <w:sz w:val="20"/>
          <w:szCs w:val="20"/>
        </w:rPr>
        <w:t>.</w:t>
      </w:r>
    </w:p>
    <w:p w14:paraId="6CC61775" w14:textId="77777777" w:rsidR="009B3F29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0" w:name="_Toc372540155"/>
      <w:bookmarkStart w:id="11" w:name="_Toc372540156"/>
      <w:bookmarkEnd w:id="8"/>
      <w:bookmarkEnd w:id="9"/>
      <w:bookmarkEnd w:id="10"/>
      <w:bookmarkEnd w:id="11"/>
      <w:r>
        <w:rPr>
          <w:rFonts w:ascii="Tahoma" w:hAnsi="Tahoma" w:cs="Tahoma"/>
          <w:sz w:val="20"/>
          <w:szCs w:val="20"/>
        </w:rPr>
        <w:t xml:space="preserve">В целях соблюдения требований пункта 3.1 Методики Биржа вправе </w:t>
      </w:r>
      <w:r w:rsidRPr="00D37163">
        <w:rPr>
          <w:rFonts w:ascii="Tahoma" w:hAnsi="Tahoma" w:cs="Tahoma"/>
          <w:sz w:val="20"/>
          <w:szCs w:val="20"/>
        </w:rPr>
        <w:t xml:space="preserve">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>
        <w:rPr>
          <w:rFonts w:ascii="Tahoma" w:hAnsi="Tahoma" w:cs="Tahoma"/>
          <w:sz w:val="20"/>
          <w:szCs w:val="20"/>
        </w:rPr>
        <w:t xml:space="preserve"> в Базу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Облигаций, не соответствующих требованиям пунктов 3.2.4-3.2.5</w:t>
      </w:r>
      <w:r w:rsidRPr="00E308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настоящей Методики.</w:t>
      </w:r>
    </w:p>
    <w:p w14:paraId="067EDEC4" w14:textId="77777777" w:rsidR="009B3F29" w:rsidRPr="00D55270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80AE3">
        <w:rPr>
          <w:rFonts w:ascii="Tahoma" w:hAnsi="Tahoma" w:cs="Tahoma"/>
          <w:sz w:val="20"/>
          <w:szCs w:val="20"/>
        </w:rPr>
        <w:t xml:space="preserve">Включение </w:t>
      </w:r>
      <w:r>
        <w:rPr>
          <w:rFonts w:ascii="Tahoma" w:hAnsi="Tahoma" w:cs="Tahoma"/>
          <w:sz w:val="20"/>
          <w:szCs w:val="20"/>
        </w:rPr>
        <w:t>Облигац</w:t>
      </w:r>
      <w:r w:rsidRPr="00E80AE3">
        <w:rPr>
          <w:rFonts w:ascii="Tahoma" w:hAnsi="Tahoma" w:cs="Tahoma"/>
          <w:sz w:val="20"/>
          <w:szCs w:val="20"/>
        </w:rPr>
        <w:t xml:space="preserve">ий в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у расчета и исключение </w:t>
      </w:r>
      <w:r>
        <w:rPr>
          <w:rFonts w:ascii="Tahoma" w:hAnsi="Tahoma" w:cs="Tahoma"/>
          <w:sz w:val="20"/>
          <w:szCs w:val="20"/>
        </w:rPr>
        <w:t>Облигац</w:t>
      </w:r>
      <w:r w:rsidRPr="00E80AE3">
        <w:rPr>
          <w:rFonts w:ascii="Tahoma" w:hAnsi="Tahoma" w:cs="Tahoma"/>
          <w:sz w:val="20"/>
          <w:szCs w:val="20"/>
        </w:rPr>
        <w:t xml:space="preserve">ий из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 xml:space="preserve">ы расчета осуществляется при пересмотре </w:t>
      </w:r>
      <w:r>
        <w:rPr>
          <w:rFonts w:ascii="Tahoma" w:hAnsi="Tahoma" w:cs="Tahoma"/>
          <w:sz w:val="20"/>
          <w:szCs w:val="20"/>
        </w:rPr>
        <w:t>Баз</w:t>
      </w:r>
      <w:r w:rsidRPr="00E80AE3">
        <w:rPr>
          <w:rFonts w:ascii="Tahoma" w:hAnsi="Tahoma" w:cs="Tahoma"/>
          <w:sz w:val="20"/>
          <w:szCs w:val="20"/>
        </w:rPr>
        <w:t>ы расчета.</w:t>
      </w:r>
    </w:p>
    <w:p w14:paraId="4C34B109" w14:textId="77777777" w:rsidR="009B3F29" w:rsidRPr="00D55270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>
        <w:rPr>
          <w:rFonts w:ascii="Tahoma" w:hAnsi="Tahoma" w:cs="Tahoma"/>
          <w:sz w:val="20"/>
          <w:szCs w:val="20"/>
        </w:rPr>
        <w:t>Базы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Методикой. Пересмотренн</w:t>
      </w:r>
      <w:r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 xml:space="preserve">т в силу </w:t>
      </w:r>
      <w:r>
        <w:rPr>
          <w:rFonts w:ascii="Tahoma" w:hAnsi="Tahoma" w:cs="Tahoma"/>
          <w:sz w:val="20"/>
          <w:szCs w:val="20"/>
        </w:rPr>
        <w:t xml:space="preserve">с начала </w:t>
      </w:r>
      <w:r w:rsidRPr="00AF222E">
        <w:rPr>
          <w:rFonts w:ascii="Tahoma" w:hAnsi="Tahoma" w:cs="Tahoma"/>
          <w:sz w:val="20"/>
          <w:szCs w:val="20"/>
        </w:rPr>
        <w:t xml:space="preserve">основной торговой сессии первого торгового дня марта, июня, сентября, декабря. 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1C788A14" w14:textId="77777777" w:rsidR="009B3F29" w:rsidRPr="00D55270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>
        <w:rPr>
          <w:rFonts w:ascii="Tahoma" w:hAnsi="Tahoma" w:cs="Tahoma"/>
          <w:sz w:val="20"/>
          <w:szCs w:val="20"/>
        </w:rPr>
        <w:t>Облигац</w:t>
      </w:r>
      <w:r w:rsidRPr="00D55270">
        <w:rPr>
          <w:rFonts w:ascii="Tahoma" w:hAnsi="Tahoma" w:cs="Tahoma"/>
          <w:sz w:val="20"/>
          <w:szCs w:val="20"/>
        </w:rPr>
        <w:t xml:space="preserve">ий из </w:t>
      </w:r>
      <w:r>
        <w:rPr>
          <w:rFonts w:ascii="Tahoma" w:hAnsi="Tahoma" w:cs="Tahoma"/>
          <w:sz w:val="20"/>
          <w:szCs w:val="20"/>
        </w:rPr>
        <w:t>Баз</w:t>
      </w:r>
      <w:r w:rsidRPr="00D55270">
        <w:rPr>
          <w:rFonts w:ascii="Tahoma" w:hAnsi="Tahoma" w:cs="Tahoma"/>
          <w:sz w:val="20"/>
          <w:szCs w:val="20"/>
        </w:rPr>
        <w:t>ы расчета в дату, определяемую Биржей</w:t>
      </w:r>
      <w:r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5755D2A4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прекращения торгов выпуском Облигаций на Бирже.</w:t>
      </w:r>
    </w:p>
    <w:p w14:paraId="127ED252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несоответствия выпуска Облигаций требованиям пункта 3.2.5 Методики.</w:t>
      </w:r>
    </w:p>
    <w:p w14:paraId="2657471E" w14:textId="77777777" w:rsidR="009B3F29" w:rsidRDefault="009B3F29" w:rsidP="009B3F29">
      <w:pPr>
        <w:numPr>
          <w:ilvl w:val="2"/>
          <w:numId w:val="3"/>
        </w:numPr>
        <w:tabs>
          <w:tab w:val="clear" w:pos="504"/>
          <w:tab w:val="left" w:pos="567"/>
          <w:tab w:val="left" w:pos="1560"/>
        </w:tabs>
        <w:spacing w:after="0" w:line="240" w:lineRule="auto"/>
        <w:ind w:left="1560" w:hanging="567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Методикой, результаты которых могут оказать существенное влияние на расчет </w:t>
      </w:r>
      <w:r>
        <w:rPr>
          <w:rFonts w:ascii="Tahoma" w:hAnsi="Tahoma" w:cs="Tahoma"/>
          <w:sz w:val="20"/>
          <w:szCs w:val="20"/>
        </w:rPr>
        <w:t>Индекса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7D500DA1" w14:textId="77777777" w:rsidR="009B3F29" w:rsidRDefault="009B3F29" w:rsidP="009B3F29">
      <w:pPr>
        <w:tabs>
          <w:tab w:val="left" w:pos="567"/>
          <w:tab w:val="left" w:pos="1560"/>
        </w:tabs>
        <w:rPr>
          <w:rFonts w:ascii="Tahoma" w:hAnsi="Tahoma" w:cs="Tahoma"/>
          <w:sz w:val="20"/>
          <w:szCs w:val="20"/>
        </w:rPr>
      </w:pPr>
    </w:p>
    <w:p w14:paraId="0327E17D" w14:textId="77777777" w:rsidR="009B3F29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12" w:name="_Toc527625987"/>
      <w:bookmarkStart w:id="13" w:name="_Toc56411792"/>
      <w:bookmarkStart w:id="14" w:name="_Toc74224505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Облигаций в </w:t>
      </w:r>
      <w:bookmarkEnd w:id="12"/>
      <w:r>
        <w:rPr>
          <w:rFonts w:ascii="Tahoma" w:hAnsi="Tahoma" w:cs="Tahoma"/>
          <w:b/>
          <w:sz w:val="20"/>
          <w:szCs w:val="20"/>
        </w:rPr>
        <w:t>Индекс</w:t>
      </w:r>
      <w:bookmarkEnd w:id="13"/>
      <w:r>
        <w:rPr>
          <w:rFonts w:ascii="Tahoma" w:hAnsi="Tahoma" w:cs="Tahoma"/>
          <w:b/>
          <w:sz w:val="20"/>
          <w:szCs w:val="20"/>
        </w:rPr>
        <w:t>е</w:t>
      </w:r>
      <w:bookmarkEnd w:id="14"/>
    </w:p>
    <w:p w14:paraId="2C021F99" w14:textId="77777777" w:rsidR="009B3F29" w:rsidRDefault="009B3F29" w:rsidP="009B3F29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8830A59" w14:textId="77777777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количество Облигаций, включенных в Базу расчета, составляет от 7 до 11 включительно, максимальный удельный вес капитализации выпуска Облигаций в совокупной капитализации Облигаций, включенных в Базу расчета, ограничивается 20%. В случае, если количество Облигаций, включенных в Базу расчета, составляет от 12 до 14 включительно, максимальный удельный вес капитализации выпуска Облигаций в совокупной капитализации Облигаций, включенных в Базу расчета, ограничивается 15%. В случае, если количество Облигаций, включенных в Базу расчета, более 14, максимальный удельный вес капитализации выпуска Облигаций в совокупной капитализации Облигаций, включенных в Базу расчета, ограничивается 10%.</w:t>
      </w:r>
    </w:p>
    <w:p w14:paraId="0630DA0B" w14:textId="77777777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Удельный вес i-ой Облигации в Индексе рассчитывается по следующей формуле:</w:t>
      </w:r>
    </w:p>
    <w:p w14:paraId="1B298614" w14:textId="77777777" w:rsidR="009B3F29" w:rsidRDefault="009B3F29" w:rsidP="009B3F29">
      <w:pPr>
        <w:pStyle w:val="a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3097BF1" w14:textId="77777777" w:rsidR="009B3F29" w:rsidRDefault="009B3F29" w:rsidP="009B3F29">
      <w:pPr>
        <w:pStyle w:val="a6"/>
        <w:rPr>
          <w:rFonts w:cs="Tahoma"/>
        </w:rPr>
      </w:pPr>
      <w:r>
        <w:rPr>
          <w:rFonts w:cs="Tahoma"/>
        </w:rPr>
        <w:t>где:</w:t>
      </w:r>
    </w:p>
    <w:p w14:paraId="3DE49BC0" w14:textId="77777777" w:rsidR="009B3F29" w:rsidRDefault="009B3F29" w:rsidP="009B3F29">
      <w:pPr>
        <w:pStyle w:val="a6"/>
        <w:rPr>
          <w:rFonts w:cs="Tahoma"/>
        </w:rPr>
      </w:pPr>
      <w:proofErr w:type="spellStart"/>
      <w:r>
        <w:rPr>
          <w:rFonts w:cs="Tahoma"/>
          <w:lang w:val="en-US"/>
        </w:rPr>
        <w:t>Wght</w:t>
      </w:r>
      <w:r>
        <w:rPr>
          <w:rFonts w:cs="Tahoma"/>
          <w:vertAlign w:val="subscript"/>
          <w:lang w:val="en-US"/>
        </w:rPr>
        <w:t>i</w:t>
      </w:r>
      <w:proofErr w:type="spellEnd"/>
      <w:r>
        <w:rPr>
          <w:rFonts w:cs="Tahoma"/>
        </w:rPr>
        <w:t xml:space="preserve"> – Удельный вес </w:t>
      </w:r>
      <w:proofErr w:type="spellStart"/>
      <w:r>
        <w:rPr>
          <w:rFonts w:cs="Tahoma"/>
          <w:lang w:val="en-US"/>
        </w:rPr>
        <w:t>i</w:t>
      </w:r>
      <w:proofErr w:type="spellEnd"/>
      <w:r>
        <w:rPr>
          <w:rFonts w:cs="Tahoma"/>
        </w:rPr>
        <w:t>-ой Облигации;</w:t>
      </w:r>
    </w:p>
    <w:p w14:paraId="0637EE5E" w14:textId="77777777" w:rsidR="009B3F29" w:rsidRDefault="009B3F29" w:rsidP="009B3F29">
      <w:pPr>
        <w:pStyle w:val="a6"/>
        <w:rPr>
          <w:rFonts w:cs="Tahoma"/>
        </w:rPr>
      </w:pPr>
      <w:proofErr w:type="spellStart"/>
      <w:r>
        <w:rPr>
          <w:rFonts w:cs="Tahoma"/>
          <w:lang w:val="en-US"/>
        </w:rPr>
        <w:t>MC</w:t>
      </w:r>
      <w:r>
        <w:rPr>
          <w:rFonts w:cs="Tahoma"/>
          <w:vertAlign w:val="subscript"/>
          <w:lang w:val="en-US"/>
        </w:rPr>
        <w:t>i</w:t>
      </w:r>
      <w:proofErr w:type="spellEnd"/>
      <w:r>
        <w:rPr>
          <w:rFonts w:cs="Tahoma"/>
        </w:rPr>
        <w:t xml:space="preserve"> – Капитализация i-той Облигации, определяемая по формуле:</w:t>
      </w:r>
    </w:p>
    <w:p w14:paraId="2AC048EB" w14:textId="77777777" w:rsidR="009B3F29" w:rsidRDefault="00DA567F" w:rsidP="009B3F29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2DBA1EC3" w14:textId="77777777" w:rsidR="009B3F29" w:rsidRPr="00C74192" w:rsidRDefault="009B3F29" w:rsidP="009B3F29">
      <w:pPr>
        <w:pStyle w:val="a6"/>
        <w:rPr>
          <w:rFonts w:cs="Tahoma"/>
        </w:rPr>
      </w:pPr>
      <w:r w:rsidRPr="00C74192">
        <w:rPr>
          <w:rFonts w:cs="Tahoma"/>
          <w:lang w:val="en-US"/>
        </w:rPr>
        <w:t>Pi</w:t>
      </w:r>
      <w:r w:rsidRPr="00C74192">
        <w:rPr>
          <w:rFonts w:cs="Tahoma"/>
        </w:rPr>
        <w:t xml:space="preserve"> – средневзвешенная цена</w:t>
      </w:r>
      <w:r>
        <w:rPr>
          <w:rFonts w:cs="Tahoma"/>
        </w:rPr>
        <w:t xml:space="preserve"> </w:t>
      </w:r>
      <w:proofErr w:type="spellStart"/>
      <w:r>
        <w:rPr>
          <w:rFonts w:cs="Tahoma"/>
          <w:lang w:val="en-US"/>
        </w:rPr>
        <w:t>i</w:t>
      </w:r>
      <w:proofErr w:type="spellEnd"/>
      <w:r w:rsidRPr="002B223A">
        <w:rPr>
          <w:rFonts w:cs="Tahoma"/>
        </w:rPr>
        <w:t>-</w:t>
      </w:r>
      <w:r>
        <w:rPr>
          <w:rFonts w:cs="Tahoma"/>
        </w:rPr>
        <w:t>ой</w:t>
      </w:r>
      <w:r w:rsidRPr="00C74192">
        <w:rPr>
          <w:rFonts w:cs="Tahoma"/>
        </w:rPr>
        <w:t xml:space="preserve"> Облигации, выраженная в процентах от номинала;</w:t>
      </w:r>
    </w:p>
    <w:p w14:paraId="583AEBF1" w14:textId="77777777" w:rsidR="009B3F29" w:rsidRPr="00C74192" w:rsidRDefault="009B3F29" w:rsidP="009B3F29">
      <w:pPr>
        <w:pStyle w:val="a6"/>
        <w:rPr>
          <w:rFonts w:cs="Tahoma"/>
        </w:rPr>
      </w:pPr>
      <w:r w:rsidRPr="00C74192">
        <w:rPr>
          <w:rFonts w:cs="Tahoma"/>
          <w:lang w:val="en-US"/>
        </w:rPr>
        <w:t>FVi</w:t>
      </w:r>
      <w:r w:rsidRPr="00C74192">
        <w:rPr>
          <w:rFonts w:cs="Tahoma"/>
        </w:rPr>
        <w:t xml:space="preserve"> – номинал</w:t>
      </w:r>
      <w:r>
        <w:rPr>
          <w:rFonts w:cs="Tahoma"/>
        </w:rPr>
        <w:t xml:space="preserve"> </w:t>
      </w:r>
      <w:proofErr w:type="spellStart"/>
      <w:r>
        <w:rPr>
          <w:rFonts w:cs="Tahoma"/>
          <w:lang w:val="en-US"/>
        </w:rPr>
        <w:t>i</w:t>
      </w:r>
      <w:proofErr w:type="spellEnd"/>
      <w:r w:rsidRPr="002B223A">
        <w:rPr>
          <w:rFonts w:cs="Tahoma"/>
        </w:rPr>
        <w:t>-</w:t>
      </w:r>
      <w:r>
        <w:rPr>
          <w:rFonts w:cs="Tahoma"/>
        </w:rPr>
        <w:t>ой</w:t>
      </w:r>
      <w:r w:rsidRPr="00C74192">
        <w:rPr>
          <w:rFonts w:cs="Tahoma"/>
        </w:rPr>
        <w:t xml:space="preserve"> Облигации, выраженный в рублях;</w:t>
      </w:r>
    </w:p>
    <w:p w14:paraId="677A52DE" w14:textId="77777777" w:rsidR="009B3F29" w:rsidRDefault="009B3F29" w:rsidP="009B3F29">
      <w:pPr>
        <w:pStyle w:val="a6"/>
        <w:rPr>
          <w:rFonts w:cs="Tahoma"/>
        </w:rPr>
      </w:pPr>
      <w:r w:rsidRPr="00C74192">
        <w:rPr>
          <w:rFonts w:cs="Tahoma"/>
          <w:lang w:val="en-US"/>
        </w:rPr>
        <w:t>Ni</w:t>
      </w:r>
      <w:r w:rsidRPr="00C74192">
        <w:rPr>
          <w:rFonts w:cs="Tahoma"/>
        </w:rPr>
        <w:t xml:space="preserve"> – объем </w:t>
      </w:r>
      <w:proofErr w:type="spellStart"/>
      <w:r w:rsidRPr="00C74192">
        <w:rPr>
          <w:rFonts w:cs="Tahoma"/>
          <w:lang w:val="en-US"/>
        </w:rPr>
        <w:t>i</w:t>
      </w:r>
      <w:proofErr w:type="spellEnd"/>
      <w:r w:rsidRPr="00C74192">
        <w:rPr>
          <w:rFonts w:cs="Tahoma"/>
        </w:rPr>
        <w:t>-го выпуска Облигаций, выраженный в штуках ценных бумаг;</w:t>
      </w:r>
    </w:p>
    <w:p w14:paraId="5AC9F214" w14:textId="77777777" w:rsidR="009B3F29" w:rsidRPr="00DB49EC" w:rsidRDefault="009B3F29" w:rsidP="009B3F29">
      <w:pPr>
        <w:pStyle w:val="a6"/>
        <w:rPr>
          <w:rFonts w:cs="Tahoma"/>
        </w:rPr>
      </w:pPr>
      <w:r>
        <w:rPr>
          <w:rFonts w:cs="Tahoma"/>
          <w:lang w:val="en-US"/>
        </w:rPr>
        <w:t>Ai</w:t>
      </w:r>
      <w:r w:rsidRPr="00DB49EC">
        <w:rPr>
          <w:rFonts w:cs="Tahoma"/>
        </w:rPr>
        <w:t xml:space="preserve"> – </w:t>
      </w:r>
      <w:r>
        <w:t xml:space="preserve">накопленный купонный доход Облигации </w:t>
      </w:r>
      <w:proofErr w:type="spellStart"/>
      <w:r>
        <w:rPr>
          <w:lang w:val="en-US"/>
        </w:rPr>
        <w:t>i</w:t>
      </w:r>
      <w:proofErr w:type="spellEnd"/>
      <w:r>
        <w:t>-го выпуска, выраженный в рублях</w:t>
      </w:r>
    </w:p>
    <w:p w14:paraId="1058C488" w14:textId="77777777" w:rsidR="009B3F29" w:rsidRPr="0049027D" w:rsidRDefault="009B3F29" w:rsidP="009B3F29">
      <w:pPr>
        <w:pStyle w:val="a6"/>
        <w:rPr>
          <w:rFonts w:cs="Tahoma"/>
        </w:rPr>
      </w:pPr>
      <w:r>
        <w:rPr>
          <w:rFonts w:cs="Tahoma"/>
          <w:lang w:val="en-US"/>
        </w:rPr>
        <w:t>Wi</w:t>
      </w:r>
      <w:r w:rsidRPr="0049027D">
        <w:rPr>
          <w:rFonts w:cs="Tahoma"/>
        </w:rPr>
        <w:t xml:space="preserve"> - коэффициент, ограничивающий долю капитализации </w:t>
      </w:r>
      <w:proofErr w:type="spellStart"/>
      <w:r w:rsidRPr="00B86B43">
        <w:rPr>
          <w:rFonts w:cs="Tahoma"/>
          <w:lang w:val="en-US"/>
        </w:rPr>
        <w:t>i</w:t>
      </w:r>
      <w:proofErr w:type="spellEnd"/>
      <w:r w:rsidRPr="0049027D">
        <w:rPr>
          <w:rFonts w:cs="Tahoma"/>
        </w:rPr>
        <w:t>-ой Облигации (Весовой коэффициент), принимает значение от 0 до 1 с точностью до семи знаков после запятой по правилу математического округления.</w:t>
      </w:r>
    </w:p>
    <w:p w14:paraId="38785206" w14:textId="77777777" w:rsidR="009B3F29" w:rsidRPr="00DB49EC" w:rsidRDefault="009B3F29" w:rsidP="009B3F29">
      <w:pPr>
        <w:pStyle w:val="a6"/>
        <w:rPr>
          <w:rFonts w:cs="Tahoma"/>
        </w:rPr>
      </w:pPr>
    </w:p>
    <w:p w14:paraId="7AEF87FE" w14:textId="77777777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Для соблюдения ограничений, предусмотренных п.4.1. Методики, осуществляется процедура корректировки Удельных весов Облигаций:</w:t>
      </w:r>
    </w:p>
    <w:p w14:paraId="524116FB" w14:textId="77777777" w:rsidR="009B3F29" w:rsidRDefault="009B3F29" w:rsidP="009B3F29">
      <w:pPr>
        <w:pStyle w:val="a3"/>
        <w:numPr>
          <w:ilvl w:val="4"/>
          <w:numId w:val="6"/>
        </w:numPr>
        <w:spacing w:after="0" w:line="240" w:lineRule="auto"/>
        <w:ind w:left="1843" w:hanging="4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Если Удельный вес выпуска Облигаций в Базе расчета Индекса превышает величину, установленную п.4.1 Методики, то соответствующий Удельный вес устанавливается равным этой величине.</w:t>
      </w:r>
    </w:p>
    <w:p w14:paraId="261B70D4" w14:textId="77777777" w:rsidR="009B3F29" w:rsidRDefault="009B3F29" w:rsidP="009B3F29">
      <w:pPr>
        <w:pStyle w:val="a3"/>
        <w:numPr>
          <w:ilvl w:val="4"/>
          <w:numId w:val="6"/>
        </w:numPr>
        <w:spacing w:after="0" w:line="240" w:lineRule="auto"/>
        <w:ind w:left="1843" w:hanging="403"/>
        <w:jc w:val="both"/>
        <w:rPr>
          <w:rFonts w:ascii="Tahoma" w:hAnsi="Tahoma" w:cs="Tahoma"/>
          <w:sz w:val="20"/>
          <w:szCs w:val="20"/>
        </w:rPr>
      </w:pPr>
      <w:bookmarkStart w:id="15" w:name="_Hlk31212518"/>
      <w:r>
        <w:rPr>
          <w:rFonts w:ascii="Tahoma" w:hAnsi="Tahoma" w:cs="Tahoma"/>
          <w:sz w:val="20"/>
          <w:szCs w:val="20"/>
        </w:rPr>
        <w:lastRenderedPageBreak/>
        <w:t>Разница между Удельными весами до и после ограничения пропорционально распределяется между Облигациями, Удельные веса которых не были ограничены.</w:t>
      </w:r>
    </w:p>
    <w:bookmarkEnd w:id="15"/>
    <w:p w14:paraId="05C44019" w14:textId="77777777" w:rsidR="009B3F29" w:rsidRDefault="009B3F29" w:rsidP="009B3F29">
      <w:pPr>
        <w:pStyle w:val="a3"/>
        <w:numPr>
          <w:ilvl w:val="4"/>
          <w:numId w:val="6"/>
        </w:numPr>
        <w:spacing w:after="0" w:line="240" w:lineRule="auto"/>
        <w:ind w:left="1843" w:hanging="4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Указанные выше действия повторяются итерационно пока остаются Облигации, Удельные веса которых превышают величину, установленную п.4.1 Методики.</w:t>
      </w:r>
    </w:p>
    <w:p w14:paraId="54DBB2B5" w14:textId="77777777" w:rsidR="009B3F29" w:rsidRDefault="009B3F29" w:rsidP="009B3F29">
      <w:pPr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значение доли стоимости выпуска Облигаций на день пересмотра Баз расчета не соответствует требованиям пункта 4.1 Методики, Биржа вправе установить объем выпуска Облигаций N</w:t>
      </w:r>
      <w:r>
        <w:rPr>
          <w:rFonts w:ascii="Tahoma" w:hAnsi="Tahoma" w:cs="Tahoma"/>
          <w:sz w:val="20"/>
          <w:szCs w:val="20"/>
          <w:vertAlign w:val="subscript"/>
        </w:rPr>
        <w:t>i,t-1</w:t>
      </w:r>
      <w:r>
        <w:rPr>
          <w:rFonts w:ascii="Tahoma" w:hAnsi="Tahoma" w:cs="Tahoma"/>
          <w:sz w:val="20"/>
          <w:szCs w:val="20"/>
        </w:rPr>
        <w:t>, используемый для расчета Индексов в соответствии с разделом 2 Методики, таким образом, чтобы значение доли стоимости выпуска Облигаций не превышало установленную пунктом 4.1 величину.</w:t>
      </w:r>
    </w:p>
    <w:p w14:paraId="0B63A95E" w14:textId="77777777" w:rsidR="009B3F29" w:rsidRDefault="009B3F29" w:rsidP="009B3F29">
      <w:pPr>
        <w:tabs>
          <w:tab w:val="left" w:pos="567"/>
          <w:tab w:val="left" w:pos="1560"/>
        </w:tabs>
        <w:rPr>
          <w:rFonts w:ascii="Tahoma" w:hAnsi="Tahoma" w:cs="Tahoma"/>
          <w:sz w:val="20"/>
          <w:szCs w:val="20"/>
        </w:rPr>
      </w:pPr>
    </w:p>
    <w:p w14:paraId="096525F0" w14:textId="77777777" w:rsidR="009B3F29" w:rsidRDefault="009B3F29" w:rsidP="009B3F29">
      <w:pPr>
        <w:tabs>
          <w:tab w:val="left" w:pos="567"/>
          <w:tab w:val="left" w:pos="1560"/>
        </w:tabs>
        <w:rPr>
          <w:rFonts w:ascii="Tahoma" w:hAnsi="Tahoma" w:cs="Tahoma"/>
          <w:sz w:val="20"/>
          <w:szCs w:val="20"/>
        </w:rPr>
      </w:pPr>
    </w:p>
    <w:p w14:paraId="086D10CD" w14:textId="77777777" w:rsidR="009B3F29" w:rsidRPr="00572289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16" w:name="_Toc315171333"/>
      <w:bookmarkStart w:id="17" w:name="_Toc74224506"/>
      <w:bookmarkStart w:id="18" w:name="_Ref272826482"/>
      <w:bookmarkStart w:id="19" w:name="п_6_1"/>
      <w:r w:rsidRPr="00572289">
        <w:rPr>
          <w:rFonts w:ascii="Tahoma" w:hAnsi="Tahoma" w:cs="Tahoma"/>
          <w:b/>
          <w:sz w:val="20"/>
          <w:szCs w:val="20"/>
        </w:rPr>
        <w:t>Контроль за расчетом индексов</w:t>
      </w:r>
      <w:bookmarkEnd w:id="16"/>
      <w:bookmarkEnd w:id="17"/>
    </w:p>
    <w:p w14:paraId="5B2A4D2E" w14:textId="77777777" w:rsidR="009B3F29" w:rsidRPr="00572289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20" w:name="_Toc13582203"/>
      <w:r w:rsidRPr="00572289">
        <w:rPr>
          <w:rFonts w:ascii="Tahoma" w:hAnsi="Tahoma" w:cs="Tahoma"/>
          <w:sz w:val="20"/>
          <w:szCs w:val="20"/>
        </w:rPr>
        <w:t>В случае наступления обстоятельств, которые могут негативно повлиять на адекватность отражения индексами реально</w:t>
      </w:r>
      <w:r>
        <w:rPr>
          <w:rFonts w:ascii="Tahoma" w:hAnsi="Tahoma" w:cs="Tahoma"/>
          <w:sz w:val="20"/>
          <w:szCs w:val="20"/>
        </w:rPr>
        <w:t>й рыночной ситуации</w:t>
      </w:r>
      <w:r w:rsidRPr="00572289">
        <w:rPr>
          <w:rFonts w:ascii="Tahoma" w:hAnsi="Tahoma" w:cs="Tahoma"/>
          <w:sz w:val="20"/>
          <w:szCs w:val="20"/>
        </w:rPr>
        <w:t xml:space="preserve">, Биржа вправе предпринять любые действия, необходимые для обеспечения адекватности </w:t>
      </w:r>
      <w:r>
        <w:rPr>
          <w:rFonts w:ascii="Tahoma" w:hAnsi="Tahoma" w:cs="Tahoma"/>
          <w:sz w:val="20"/>
          <w:szCs w:val="20"/>
        </w:rPr>
        <w:t>И</w:t>
      </w:r>
      <w:r w:rsidRPr="00572289">
        <w:rPr>
          <w:rFonts w:ascii="Tahoma" w:hAnsi="Tahoma" w:cs="Tahoma"/>
          <w:sz w:val="20"/>
          <w:szCs w:val="20"/>
        </w:rPr>
        <w:t>ндекс</w:t>
      </w:r>
      <w:r>
        <w:rPr>
          <w:rFonts w:ascii="Tahoma" w:hAnsi="Tahoma" w:cs="Tahoma"/>
          <w:sz w:val="20"/>
          <w:szCs w:val="20"/>
        </w:rPr>
        <w:t>а</w:t>
      </w:r>
      <w:r w:rsidRPr="00572289">
        <w:rPr>
          <w:rFonts w:ascii="Tahoma" w:hAnsi="Tahoma" w:cs="Tahoma"/>
          <w:sz w:val="20"/>
          <w:szCs w:val="20"/>
        </w:rPr>
        <w:t xml:space="preserve">, в том числе исключить </w:t>
      </w:r>
      <w:r>
        <w:rPr>
          <w:rFonts w:ascii="Tahoma" w:hAnsi="Tahoma" w:cs="Tahoma"/>
          <w:sz w:val="20"/>
          <w:szCs w:val="20"/>
        </w:rPr>
        <w:t>Облигации из Базы расчета.</w:t>
      </w:r>
      <w:bookmarkEnd w:id="20"/>
    </w:p>
    <w:p w14:paraId="00DFCD35" w14:textId="77777777" w:rsidR="009B3F29" w:rsidRPr="00033C3D" w:rsidRDefault="009B3F29" w:rsidP="009B3F29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4D02885" w14:textId="77777777" w:rsidR="009B3F29" w:rsidRPr="00AD56BB" w:rsidRDefault="009B3F29" w:rsidP="009B3F29">
      <w:pPr>
        <w:numPr>
          <w:ilvl w:val="0"/>
          <w:numId w:val="4"/>
        </w:num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  <w:bookmarkStart w:id="21" w:name="_Toc74224507"/>
      <w:bookmarkEnd w:id="18"/>
      <w:bookmarkEnd w:id="19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21"/>
    </w:p>
    <w:p w14:paraId="60AF4DFB" w14:textId="77777777" w:rsidR="009B3F29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404F8F75" w14:textId="77777777" w:rsidR="009B3F29" w:rsidRPr="00FD04CE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5389">
        <w:rPr>
          <w:rFonts w:ascii="Tahoma" w:hAnsi="Tahoma" w:cs="Tahoma"/>
          <w:sz w:val="20"/>
          <w:szCs w:val="20"/>
        </w:rPr>
        <w:t xml:space="preserve">Информация о значениях </w:t>
      </w:r>
      <w:r>
        <w:rPr>
          <w:rFonts w:ascii="Tahoma" w:hAnsi="Tahoma" w:cs="Tahoma"/>
          <w:sz w:val="20"/>
          <w:szCs w:val="20"/>
        </w:rPr>
        <w:t>И</w:t>
      </w:r>
      <w:r w:rsidRPr="00D15389">
        <w:rPr>
          <w:rFonts w:ascii="Tahoma" w:hAnsi="Tahoma" w:cs="Tahoma"/>
          <w:sz w:val="20"/>
          <w:szCs w:val="20"/>
        </w:rPr>
        <w:t>ндекс</w:t>
      </w:r>
      <w:r>
        <w:rPr>
          <w:rFonts w:ascii="Tahoma" w:hAnsi="Tahoma" w:cs="Tahoma"/>
          <w:sz w:val="20"/>
          <w:szCs w:val="20"/>
        </w:rPr>
        <w:t>а</w:t>
      </w:r>
      <w:r w:rsidRPr="00D15389">
        <w:rPr>
          <w:rFonts w:ascii="Tahoma" w:hAnsi="Tahoma" w:cs="Tahoma"/>
          <w:sz w:val="20"/>
          <w:szCs w:val="20"/>
        </w:rPr>
        <w:t xml:space="preserve"> за предыдущий </w:t>
      </w:r>
      <w:r>
        <w:rPr>
          <w:rFonts w:ascii="Tahoma" w:hAnsi="Tahoma" w:cs="Tahoma"/>
          <w:sz w:val="20"/>
          <w:szCs w:val="20"/>
        </w:rPr>
        <w:t>Т</w:t>
      </w:r>
      <w:r w:rsidRPr="00D15389">
        <w:rPr>
          <w:rFonts w:ascii="Tahoma" w:hAnsi="Tahoma" w:cs="Tahoma"/>
          <w:sz w:val="20"/>
          <w:szCs w:val="20"/>
        </w:rPr>
        <w:t xml:space="preserve">орговый день раскрывается каждый </w:t>
      </w:r>
      <w:r>
        <w:rPr>
          <w:rFonts w:ascii="Tahoma" w:hAnsi="Tahoma" w:cs="Tahoma"/>
          <w:sz w:val="20"/>
          <w:szCs w:val="20"/>
        </w:rPr>
        <w:t>Т</w:t>
      </w:r>
      <w:r w:rsidRPr="00D15389">
        <w:rPr>
          <w:rFonts w:ascii="Tahoma" w:hAnsi="Tahoma" w:cs="Tahoma"/>
          <w:sz w:val="20"/>
          <w:szCs w:val="20"/>
        </w:rPr>
        <w:t>орговый день не позднее 12:00 московского времени.</w:t>
      </w:r>
    </w:p>
    <w:p w14:paraId="473F41A3" w14:textId="77777777" w:rsidR="009B3F29" w:rsidRPr="00434DA7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 чем за </w:t>
      </w:r>
      <w:r>
        <w:rPr>
          <w:rFonts w:ascii="Tahoma" w:hAnsi="Tahoma" w:cs="Tahoma"/>
          <w:sz w:val="20"/>
          <w:szCs w:val="20"/>
        </w:rPr>
        <w:t>3 (</w:t>
      </w:r>
      <w:r w:rsidRPr="00434DA7">
        <w:rPr>
          <w:rFonts w:ascii="Tahoma" w:hAnsi="Tahoma" w:cs="Tahoma"/>
          <w:sz w:val="20"/>
          <w:szCs w:val="20"/>
        </w:rPr>
        <w:t>три</w:t>
      </w:r>
      <w:r>
        <w:rPr>
          <w:rFonts w:ascii="Tahoma" w:hAnsi="Tahoma" w:cs="Tahoma"/>
          <w:sz w:val="20"/>
          <w:szCs w:val="20"/>
        </w:rPr>
        <w:t>)</w:t>
      </w:r>
      <w:r w:rsidRPr="00434DA7">
        <w:rPr>
          <w:rFonts w:ascii="Tahoma" w:hAnsi="Tahoma" w:cs="Tahoma"/>
          <w:sz w:val="20"/>
          <w:szCs w:val="20"/>
        </w:rPr>
        <w:t xml:space="preserve"> рабочих дня до даты вступления </w:t>
      </w:r>
      <w:r>
        <w:rPr>
          <w:rFonts w:ascii="Tahoma" w:hAnsi="Tahoma" w:cs="Tahoma"/>
          <w:sz w:val="20"/>
          <w:szCs w:val="20"/>
        </w:rPr>
        <w:t>ее</w:t>
      </w:r>
      <w:r w:rsidRPr="00434DA7">
        <w:rPr>
          <w:rFonts w:ascii="Tahoma" w:hAnsi="Tahoma" w:cs="Tahoma"/>
          <w:sz w:val="20"/>
          <w:szCs w:val="20"/>
        </w:rPr>
        <w:t xml:space="preserve"> в силу, если иное не </w:t>
      </w:r>
      <w:r>
        <w:rPr>
          <w:rFonts w:ascii="Tahoma" w:hAnsi="Tahoma" w:cs="Tahoma"/>
          <w:sz w:val="20"/>
          <w:szCs w:val="20"/>
        </w:rPr>
        <w:t xml:space="preserve">установлено решением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0C5E4A7" w14:textId="77777777" w:rsidR="009B3F29" w:rsidRPr="00456EEF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>
        <w:rPr>
          <w:rFonts w:ascii="Tahoma" w:hAnsi="Tahoma" w:cs="Tahoma"/>
          <w:sz w:val="20"/>
          <w:szCs w:val="20"/>
        </w:rPr>
        <w:t>Базы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456EEF">
        <w:rPr>
          <w:rFonts w:ascii="Tahoma" w:hAnsi="Tahoma" w:cs="Tahoma"/>
          <w:sz w:val="20"/>
          <w:szCs w:val="20"/>
        </w:rPr>
        <w:t xml:space="preserve"> раскрываются на официальном сайте Биржи в сети Интернет не позднее чем за 2 </w:t>
      </w:r>
      <w:r>
        <w:rPr>
          <w:rFonts w:ascii="Tahoma" w:hAnsi="Tahoma" w:cs="Tahoma"/>
          <w:sz w:val="20"/>
          <w:szCs w:val="20"/>
        </w:rPr>
        <w:t xml:space="preserve">(две) </w:t>
      </w:r>
      <w:r w:rsidRPr="00456EEF">
        <w:rPr>
          <w:rFonts w:ascii="Tahoma" w:hAnsi="Tahoma" w:cs="Tahoma"/>
          <w:sz w:val="20"/>
          <w:szCs w:val="20"/>
        </w:rPr>
        <w:t>недели до вступления в силу решения Биржи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Базы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22E1BDBA" w14:textId="77777777" w:rsidR="009B3F29" w:rsidRPr="00456EEF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>
        <w:rPr>
          <w:rFonts w:ascii="Tahoma" w:hAnsi="Tahoma" w:cs="Tahoma"/>
          <w:sz w:val="20"/>
          <w:szCs w:val="20"/>
        </w:rPr>
        <w:t>Базы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на официальном сайте Биржи в сети Интернет не позднее</w:t>
      </w:r>
      <w:r>
        <w:rPr>
          <w:rFonts w:ascii="Tahoma" w:hAnsi="Tahoma" w:cs="Tahoma"/>
          <w:sz w:val="20"/>
          <w:szCs w:val="20"/>
        </w:rPr>
        <w:t xml:space="preserve"> торгового</w:t>
      </w:r>
      <w:r w:rsidRPr="00456EEF">
        <w:rPr>
          <w:rFonts w:ascii="Tahoma" w:hAnsi="Tahoma" w:cs="Tahoma"/>
          <w:sz w:val="20"/>
          <w:szCs w:val="20"/>
        </w:rPr>
        <w:t xml:space="preserve"> дня, предшествующего дате вступления в силу решения Биржи об утверждении новой </w:t>
      </w:r>
      <w:r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493840FE" w14:textId="77777777" w:rsidR="009B3F29" w:rsidRDefault="009B3F29" w:rsidP="009B3F29">
      <w:pPr>
        <w:numPr>
          <w:ilvl w:val="1"/>
          <w:numId w:val="3"/>
        </w:numPr>
        <w:tabs>
          <w:tab w:val="left" w:pos="567"/>
          <w:tab w:val="left" w:pos="156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>Информация, подлежащая в соответствии с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0E222180" w14:textId="77777777" w:rsidR="005D2665" w:rsidRDefault="00DA567F"/>
    <w:sectPr w:rsidR="005D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40C289A"/>
    <w:multiLevelType w:val="multilevel"/>
    <w:tmpl w:val="708C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29"/>
    <w:rsid w:val="00145F2E"/>
    <w:rsid w:val="003B255E"/>
    <w:rsid w:val="006520F2"/>
    <w:rsid w:val="007E6E48"/>
    <w:rsid w:val="009B3F29"/>
    <w:rsid w:val="00DA567F"/>
    <w:rsid w:val="00D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07538"/>
  <w15:chartTrackingRefBased/>
  <w15:docId w15:val="{C0FA81C9-AC53-4F67-9D3C-3F7FF2D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3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F29"/>
    <w:pPr>
      <w:ind w:left="720"/>
      <w:contextualSpacing/>
    </w:pPr>
  </w:style>
  <w:style w:type="character" w:styleId="a4">
    <w:name w:val="Hyperlink"/>
    <w:uiPriority w:val="99"/>
    <w:rsid w:val="009B3F29"/>
    <w:rPr>
      <w:color w:val="0000FF"/>
      <w:u w:val="single"/>
    </w:rPr>
  </w:style>
  <w:style w:type="character" w:styleId="a5">
    <w:name w:val="Emphasis"/>
    <w:aliases w:val="Глава 3"/>
    <w:qFormat/>
    <w:rsid w:val="009B3F29"/>
    <w:rPr>
      <w:rFonts w:ascii="Arial" w:hAnsi="Arial" w:cs="Arial" w:hint="default"/>
      <w:i w:val="0"/>
      <w:iCs w:val="0"/>
      <w:sz w:val="20"/>
      <w:szCs w:val="20"/>
    </w:rPr>
  </w:style>
  <w:style w:type="paragraph" w:styleId="3">
    <w:name w:val="Body Text 3"/>
    <w:basedOn w:val="a"/>
    <w:link w:val="30"/>
    <w:unhideWhenUsed/>
    <w:rsid w:val="009B3F29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B3F2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Уровень Формул текст"/>
    <w:basedOn w:val="a"/>
    <w:link w:val="a7"/>
    <w:qFormat/>
    <w:rsid w:val="009B3F29"/>
    <w:pPr>
      <w:spacing w:after="120" w:line="240" w:lineRule="auto"/>
      <w:ind w:left="1559"/>
      <w:contextualSpacing/>
      <w:jc w:val="both"/>
    </w:pPr>
    <w:rPr>
      <w:rFonts w:ascii="Tahoma" w:eastAsia="Times New Roman" w:hAnsi="Tahoma" w:cs="Arial"/>
      <w:sz w:val="20"/>
      <w:szCs w:val="20"/>
      <w:lang w:eastAsia="ru-RU"/>
    </w:rPr>
  </w:style>
  <w:style w:type="character" w:customStyle="1" w:styleId="a7">
    <w:name w:val="Уровень Формул текст Знак"/>
    <w:link w:val="a6"/>
    <w:rsid w:val="009B3F29"/>
    <w:rPr>
      <w:rFonts w:ascii="Tahoma" w:eastAsia="Times New Roman" w:hAnsi="Tahoma" w:cs="Arial"/>
      <w:sz w:val="20"/>
      <w:szCs w:val="20"/>
      <w:lang w:eastAsia="ru-RU"/>
    </w:rPr>
  </w:style>
  <w:style w:type="paragraph" w:styleId="1">
    <w:name w:val="toc 1"/>
    <w:basedOn w:val="a"/>
    <w:next w:val="a"/>
    <w:autoRedefine/>
    <w:uiPriority w:val="39"/>
    <w:rsid w:val="009B3F29"/>
    <w:pPr>
      <w:widowControl w:val="0"/>
      <w:tabs>
        <w:tab w:val="left" w:pos="480"/>
        <w:tab w:val="right" w:leader="dot" w:pos="9344"/>
      </w:tabs>
      <w:spacing w:before="120" w:after="120" w:line="240" w:lineRule="auto"/>
      <w:ind w:left="68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character" w:customStyle="1" w:styleId="a8">
    <w:name w:val="Уровень Формул Знак"/>
    <w:link w:val="a9"/>
    <w:locked/>
    <w:rsid w:val="009B3F29"/>
    <w:rPr>
      <w:rFonts w:ascii="Cambria Math" w:hAnsi="Cambria Math" w:cs="Arial"/>
      <w:i/>
      <w:sz w:val="24"/>
      <w:lang w:val="en-US"/>
    </w:rPr>
  </w:style>
  <w:style w:type="paragraph" w:customStyle="1" w:styleId="a9">
    <w:name w:val="Уровень Формул"/>
    <w:basedOn w:val="a"/>
    <w:link w:val="a8"/>
    <w:qFormat/>
    <w:rsid w:val="009B3F29"/>
    <w:pPr>
      <w:spacing w:before="240" w:after="240" w:line="240" w:lineRule="auto"/>
      <w:jc w:val="both"/>
    </w:pPr>
    <w:rPr>
      <w:rFonts w:ascii="Cambria Math" w:hAnsi="Cambria Math" w:cs="Arial"/>
      <w:i/>
      <w:sz w:val="24"/>
      <w:lang w:val="en-US"/>
    </w:rPr>
  </w:style>
  <w:style w:type="paragraph" w:styleId="aa">
    <w:name w:val="Body Text"/>
    <w:basedOn w:val="a"/>
    <w:link w:val="ab"/>
    <w:uiPriority w:val="99"/>
    <w:semiHidden/>
    <w:unhideWhenUsed/>
    <w:rsid w:val="009B3F2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B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 Денис Борисович</dc:creator>
  <cp:keywords/>
  <dc:description/>
  <cp:lastModifiedBy>Губин Денис Борисович</cp:lastModifiedBy>
  <cp:revision>2</cp:revision>
  <dcterms:created xsi:type="dcterms:W3CDTF">2021-09-14T14:10:00Z</dcterms:created>
  <dcterms:modified xsi:type="dcterms:W3CDTF">2021-09-14T14:10:00Z</dcterms:modified>
</cp:coreProperties>
</file>